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12E3F">
      <w:pPr>
        <w:pStyle w:val="4"/>
        <w:rPr>
          <w:rFonts w:hint="default" w:ascii="Times New Roman" w:hAnsi="Times New Roman" w:cs="Times New Roman"/>
          <w:color w:val="auto"/>
          <w:highlight w:val="none"/>
        </w:rPr>
      </w:pPr>
      <w:bookmarkStart w:id="24" w:name="_GoBack"/>
      <w:bookmarkEnd w:id="24"/>
      <w:bookmarkStart w:id="0" w:name="_Toc169457199"/>
      <w:bookmarkStart w:id="1" w:name="_Toc146320977"/>
      <w:bookmarkStart w:id="2" w:name="_Toc146029310"/>
      <w:bookmarkStart w:id="3" w:name="_Toc141783236"/>
      <w:bookmarkStart w:id="4" w:name="OLE_LINK3"/>
      <w:bookmarkStart w:id="5" w:name="OLE_LINK1"/>
      <w:r>
        <w:rPr>
          <w:rFonts w:hint="default" w:ascii="Times New Roman" w:hAnsi="Times New Roman" w:cs="Times New Roman"/>
          <w:color w:val="auto"/>
          <w:sz w:val="24"/>
          <w:szCs w:val="24"/>
          <w:highlight w:val="none"/>
        </w:rPr>
        <w:t>附件1：资格审查条件</w:t>
      </w:r>
      <w:bookmarkEnd w:id="0"/>
      <w:bookmarkEnd w:id="1"/>
      <w:bookmarkEnd w:id="2"/>
      <w:bookmarkEnd w:id="3"/>
    </w:p>
    <w:p w14:paraId="6330431A">
      <w:pPr>
        <w:ind w:firstLine="420"/>
        <w:jc w:val="center"/>
        <w:rPr>
          <w:rFonts w:hint="default" w:ascii="Times New Roman" w:hAnsi="Times New Roman" w:cs="Times New Roman"/>
          <w:color w:val="auto"/>
          <w:highlight w:val="none"/>
        </w:rPr>
      </w:pPr>
    </w:p>
    <w:p w14:paraId="584B8A70">
      <w:pPr>
        <w:ind w:firstLine="482"/>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附录1  资格审查条件（资质最低要求）</w:t>
      </w:r>
    </w:p>
    <w:p w14:paraId="571664B2">
      <w:pPr>
        <w:ind w:firstLine="482"/>
        <w:jc w:val="center"/>
        <w:rPr>
          <w:rFonts w:hint="default" w:ascii="Times New Roman" w:hAnsi="Times New Roman" w:cs="Times New Roman"/>
          <w:b/>
          <w:color w:val="auto"/>
          <w:sz w:val="24"/>
          <w:szCs w:val="24"/>
          <w:highlight w:val="none"/>
        </w:rPr>
      </w:pPr>
    </w:p>
    <w:tbl>
      <w:tblPr>
        <w:tblStyle w:val="6"/>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9"/>
      </w:tblGrid>
      <w:tr w14:paraId="0E1F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000" w:type="pct"/>
            <w:vAlign w:val="center"/>
          </w:tcPr>
          <w:p w14:paraId="59EC2BAE">
            <w:pPr>
              <w:adjustRightInd w:val="0"/>
              <w:snapToGrid w:val="0"/>
              <w:spacing w:line="320" w:lineRule="exact"/>
              <w:ind w:left="-2" w:leftChars="-1"/>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资质要求</w:t>
            </w:r>
          </w:p>
        </w:tc>
      </w:tr>
      <w:tr w14:paraId="7E56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6" w:hRule="atLeast"/>
          <w:jc w:val="center"/>
        </w:trPr>
        <w:tc>
          <w:tcPr>
            <w:tcW w:w="5000" w:type="pct"/>
            <w:vAlign w:val="center"/>
          </w:tcPr>
          <w:p w14:paraId="61920CE0">
            <w:pPr>
              <w:snapToGrid w:val="0"/>
              <w:spacing w:line="360" w:lineRule="exact"/>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kern w:val="0"/>
                <w:szCs w:val="21"/>
                <w:highlight w:val="none"/>
                <w:lang w:val="en-US" w:eastAsia="zh-CN"/>
              </w:rPr>
              <w:t>1.</w:t>
            </w:r>
            <w:r>
              <w:rPr>
                <w:rFonts w:hint="default" w:ascii="Times New Roman" w:hAnsi="Times New Roman" w:cs="Times New Roman"/>
                <w:color w:val="auto"/>
                <w:kern w:val="0"/>
                <w:szCs w:val="21"/>
                <w:highlight w:val="none"/>
              </w:rPr>
              <w:t>中华人民共和国境内合法注册的独立法人或其他组织，具有独立承担民事责任能力，具有独立订立合同的权利</w:t>
            </w:r>
            <w:r>
              <w:rPr>
                <w:rFonts w:hint="eastAsia" w:ascii="Times New Roman" w:hAnsi="Times New Roman" w:cs="Times New Roman"/>
                <w:color w:val="auto"/>
                <w:kern w:val="0"/>
                <w:szCs w:val="21"/>
                <w:highlight w:val="none"/>
                <w:lang w:eastAsia="zh-CN"/>
              </w:rPr>
              <w:t>。</w:t>
            </w:r>
          </w:p>
          <w:p w14:paraId="2A9593EF">
            <w:pPr>
              <w:snapToGrid w:val="0"/>
              <w:spacing w:line="360" w:lineRule="exact"/>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2.具备</w:t>
            </w:r>
            <w:r>
              <w:rPr>
                <w:rFonts w:hint="default" w:ascii="Times New Roman" w:hAnsi="Times New Roman" w:cs="Times New Roman"/>
                <w:color w:val="auto"/>
                <w:szCs w:val="21"/>
                <w:highlight w:val="none"/>
              </w:rPr>
              <w:t>交通运输主管部门颁发的公路工程质量检测机构公路工程甲级资质</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公路工程综合甲级工程试验检测机构资质</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w:t>
            </w:r>
          </w:p>
          <w:p w14:paraId="0E5753A3">
            <w:pPr>
              <w:snapToGrid w:val="0"/>
              <w:spacing w:line="360" w:lineRule="exac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以联合体形式投标的：</w:t>
            </w:r>
          </w:p>
          <w:p w14:paraId="0BA26977">
            <w:pPr>
              <w:numPr>
                <w:ilvl w:val="0"/>
                <w:numId w:val="0"/>
              </w:numPr>
              <w:snapToGrid w:val="0"/>
              <w:spacing w:line="360" w:lineRule="exact"/>
              <w:rPr>
                <w:rFonts w:hint="eastAsia" w:ascii="Times New Roman" w:hAnsi="Times New Roman" w:cs="Times New Roman"/>
                <w:color w:val="auto"/>
                <w:szCs w:val="21"/>
                <w:highlight w:val="none"/>
                <w:lang w:eastAsia="zh-CN"/>
              </w:rPr>
            </w:pPr>
            <w:r>
              <w:rPr>
                <w:rFonts w:hint="eastAsia"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cs="Times New Roman"/>
                <w:color w:val="auto"/>
                <w:szCs w:val="21"/>
                <w:highlight w:val="none"/>
                <w:lang w:val="en-US" w:eastAsia="zh-CN"/>
              </w:rPr>
              <w:t>联合体牵头人须具备</w:t>
            </w:r>
            <w:r>
              <w:rPr>
                <w:rFonts w:hint="default" w:ascii="Times New Roman" w:hAnsi="Times New Roman" w:cs="Times New Roman"/>
                <w:color w:val="auto"/>
                <w:szCs w:val="21"/>
                <w:highlight w:val="none"/>
              </w:rPr>
              <w:t>交通运输主管部门颁发的公路工程质量检测机构公路工程甲级资质</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公路工程综合甲级工程试验检测机构资质</w:t>
            </w:r>
            <w:r>
              <w:rPr>
                <w:rFonts w:hint="eastAsia" w:ascii="Times New Roman" w:hAnsi="Times New Roman" w:cs="Times New Roman"/>
                <w:color w:val="auto"/>
                <w:szCs w:val="21"/>
                <w:highlight w:val="none"/>
                <w:lang w:eastAsia="zh-CN"/>
              </w:rPr>
              <w:t>）；</w:t>
            </w:r>
          </w:p>
          <w:p w14:paraId="6BD1EC11">
            <w:pPr>
              <w:numPr>
                <w:ilvl w:val="0"/>
                <w:numId w:val="0"/>
              </w:numPr>
              <w:snapToGrid w:val="0"/>
              <w:spacing w:line="360" w:lineRule="exact"/>
              <w:rPr>
                <w:rFonts w:hint="eastAsia" w:ascii="Times New Roman" w:hAnsi="Times New Roman" w:cs="Times New Roman"/>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（2）</w:t>
            </w:r>
            <w:r>
              <w:rPr>
                <w:rFonts w:hint="eastAsia" w:ascii="Times New Roman" w:hAnsi="Times New Roman" w:cs="Times New Roman"/>
                <w:color w:val="auto"/>
                <w:kern w:val="2"/>
                <w:sz w:val="21"/>
                <w:szCs w:val="21"/>
                <w:highlight w:val="none"/>
                <w:lang w:val="en-US" w:eastAsia="zh-CN" w:bidi="ar-SA"/>
              </w:rPr>
              <w:t>联合体成员</w:t>
            </w:r>
            <w:r>
              <w:rPr>
                <w:rFonts w:hint="eastAsia" w:ascii="Times New Roman" w:hAnsi="Times New Roman" w:cs="Times New Roman"/>
                <w:color w:val="auto"/>
                <w:kern w:val="0"/>
                <w:szCs w:val="21"/>
                <w:highlight w:val="none"/>
                <w:lang w:eastAsia="zh-CN"/>
              </w:rPr>
              <w:t>按联合体协议书中</w:t>
            </w:r>
            <w:r>
              <w:rPr>
                <w:rFonts w:hint="eastAsia" w:ascii="Times New Roman" w:hAnsi="Times New Roman" w:cs="Times New Roman"/>
                <w:color w:val="auto"/>
                <w:kern w:val="0"/>
                <w:szCs w:val="21"/>
                <w:highlight w:val="none"/>
                <w:lang w:val="en-US" w:eastAsia="zh-CN"/>
              </w:rPr>
              <w:t>的</w:t>
            </w:r>
            <w:r>
              <w:rPr>
                <w:rFonts w:hint="eastAsia" w:ascii="Times New Roman" w:hAnsi="Times New Roman" w:cs="Times New Roman"/>
                <w:color w:val="auto"/>
                <w:kern w:val="0"/>
                <w:szCs w:val="21"/>
                <w:highlight w:val="none"/>
                <w:lang w:eastAsia="zh-CN"/>
              </w:rPr>
              <w:t>分工须具备相应的</w:t>
            </w:r>
            <w:r>
              <w:rPr>
                <w:rFonts w:hint="default" w:ascii="Times New Roman" w:hAnsi="Times New Roman" w:cs="Times New Roman"/>
                <w:color w:val="auto"/>
                <w:szCs w:val="21"/>
                <w:highlight w:val="none"/>
              </w:rPr>
              <w:t>交通运输主管部门颁发的公路工程质量检测机构公路工程甲级资质</w:t>
            </w: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公路工程综合甲级工程试验检测机构资质</w:t>
            </w:r>
            <w:r>
              <w:rPr>
                <w:rFonts w:hint="eastAsia" w:ascii="Times New Roman" w:hAnsi="Times New Roman" w:cs="Times New Roman"/>
                <w:color w:val="auto"/>
                <w:szCs w:val="21"/>
                <w:highlight w:val="none"/>
                <w:lang w:eastAsia="zh-CN"/>
              </w:rPr>
              <w:t>）或</w:t>
            </w:r>
            <w:r>
              <w:rPr>
                <w:rFonts w:hint="eastAsia" w:ascii="Times New Roman" w:hAnsi="Times New Roman" w:cs="Times New Roman"/>
                <w:color w:val="auto"/>
                <w:szCs w:val="21"/>
                <w:highlight w:val="none"/>
                <w:lang w:val="en-US" w:eastAsia="zh-CN"/>
              </w:rPr>
              <w:t>公路水运工程质量检测机构桥梁隧道工程专项资质（公路水运工程试验检测机构桥梁隧道工程专项资质）或公路水运工程质量检测机构交通工程专项资质（公路水运工程试验检测机构交通工程专项资质）；</w:t>
            </w:r>
          </w:p>
          <w:p w14:paraId="03977EAA">
            <w:pPr>
              <w:numPr>
                <w:ilvl w:val="0"/>
                <w:numId w:val="0"/>
              </w:numPr>
              <w:snapToGrid w:val="0"/>
              <w:spacing w:line="360" w:lineRule="exac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联合体所有成员数量不得超过</w:t>
            </w:r>
            <w:r>
              <w:rPr>
                <w:rFonts w:hint="eastAsia"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家</w:t>
            </w:r>
            <w:r>
              <w:rPr>
                <w:rFonts w:hint="eastAsia" w:ascii="Times New Roman" w:hAnsi="Times New Roman" w:cs="Times New Roman"/>
                <w:color w:val="auto"/>
                <w:szCs w:val="21"/>
                <w:highlight w:val="none"/>
                <w:lang w:eastAsia="zh-CN"/>
              </w:rPr>
              <w:t>。</w:t>
            </w:r>
          </w:p>
        </w:tc>
      </w:tr>
    </w:tbl>
    <w:p w14:paraId="6C85933D">
      <w:pPr>
        <w:ind w:firstLine="480"/>
        <w:rPr>
          <w:rFonts w:hint="default" w:ascii="Times New Roman" w:hAnsi="Times New Roman" w:cs="Times New Roman"/>
          <w:color w:val="auto"/>
          <w:sz w:val="24"/>
          <w:szCs w:val="24"/>
          <w:highlight w:val="none"/>
        </w:rPr>
      </w:pPr>
    </w:p>
    <w:p w14:paraId="59ACC479">
      <w:pPr>
        <w:ind w:firstLine="480"/>
        <w:rPr>
          <w:rFonts w:hint="default" w:ascii="Times New Roman" w:hAnsi="Times New Roman" w:cs="Times New Roman"/>
          <w:color w:val="auto"/>
          <w:sz w:val="24"/>
          <w:szCs w:val="24"/>
          <w:highlight w:val="none"/>
        </w:rPr>
      </w:pPr>
    </w:p>
    <w:p w14:paraId="0A2B5ACB">
      <w:pPr>
        <w:ind w:firstLine="482"/>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附录2  资格审查条件（业绩最低要求）</w:t>
      </w:r>
    </w:p>
    <w:p w14:paraId="438F2815">
      <w:pPr>
        <w:ind w:firstLine="482"/>
        <w:jc w:val="center"/>
        <w:rPr>
          <w:rFonts w:hint="default" w:ascii="Times New Roman" w:hAnsi="Times New Roman" w:cs="Times New Roman"/>
          <w:b/>
          <w:color w:val="auto"/>
          <w:sz w:val="24"/>
          <w:szCs w:val="24"/>
          <w:highlight w:val="none"/>
        </w:rPr>
      </w:pPr>
    </w:p>
    <w:tbl>
      <w:tblPr>
        <w:tblStyle w:val="6"/>
        <w:tblpPr w:leftFromText="180" w:rightFromText="180" w:vertAnchor="text" w:horzAnchor="page" w:tblpXSpec="center" w:tblpY="312"/>
        <w:tblOverlap w:val="never"/>
        <w:tblW w:w="48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9"/>
      </w:tblGrid>
      <w:tr w14:paraId="3934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000" w:type="pct"/>
            <w:vAlign w:val="center"/>
          </w:tcPr>
          <w:p w14:paraId="169654D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业绩要求</w:t>
            </w:r>
          </w:p>
        </w:tc>
      </w:tr>
      <w:tr w14:paraId="07FD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5000" w:type="pct"/>
            <w:vAlign w:val="center"/>
          </w:tcPr>
          <w:p w14:paraId="7D957B8B">
            <w:pPr>
              <w:numPr>
                <w:ilvl w:val="0"/>
                <w:numId w:val="0"/>
              </w:numPr>
              <w:snapToGrid w:val="0"/>
              <w:spacing w:line="360" w:lineRule="exact"/>
              <w:ind w:firstLine="420" w:firstLineChars="200"/>
              <w:rPr>
                <w:rFonts w:hint="eastAsia"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 w:val="21"/>
                <w:szCs w:val="21"/>
                <w:highlight w:val="none"/>
                <w:lang w:val="en-US" w:eastAsia="zh-CN" w:bidi="ar-SA"/>
              </w:rPr>
              <w:t>1.</w:t>
            </w: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rPr>
              <w:t>至投标截止时间，以合同签订时间为准），至少完成过</w:t>
            </w:r>
            <w:r>
              <w:rPr>
                <w:rFonts w:hint="eastAsia" w:ascii="Times New Roman" w:hAnsi="Times New Roman" w:cs="Times New Roman"/>
                <w:color w:val="auto"/>
                <w:kern w:val="0"/>
                <w:szCs w:val="21"/>
                <w:highlight w:val="none"/>
                <w:lang w:val="en-US" w:eastAsia="zh-CN"/>
              </w:rPr>
              <w:t>单车道</w:t>
            </w:r>
            <w:r>
              <w:rPr>
                <w:rFonts w:hint="default" w:ascii="Times New Roman" w:hAnsi="Times New Roman" w:cs="Times New Roman"/>
                <w:color w:val="auto"/>
                <w:kern w:val="0"/>
                <w:szCs w:val="21"/>
                <w:highlight w:val="none"/>
              </w:rPr>
              <w:t>累计</w:t>
            </w:r>
            <w:r>
              <w:rPr>
                <w:rFonts w:hint="eastAsia" w:ascii="Times New Roman" w:hAnsi="Times New Roman" w:cs="Times New Roman"/>
                <w:color w:val="auto"/>
                <w:kern w:val="0"/>
                <w:szCs w:val="21"/>
                <w:highlight w:val="none"/>
                <w:lang w:val="en-US" w:eastAsia="zh-CN"/>
              </w:rPr>
              <w:t>里程</w:t>
            </w:r>
            <w:r>
              <w:rPr>
                <w:rFonts w:hint="default" w:ascii="Times New Roman" w:hAnsi="Times New Roman" w:cs="Times New Roman"/>
                <w:color w:val="auto"/>
                <w:kern w:val="0"/>
                <w:szCs w:val="21"/>
                <w:highlight w:val="none"/>
              </w:rPr>
              <w:t>不少于2000km（含）的高速公路路基检测评定项目业绩</w:t>
            </w:r>
            <w:r>
              <w:rPr>
                <w:rFonts w:hint="eastAsia" w:ascii="Times New Roman" w:hAnsi="Times New Roman" w:eastAsia="宋体" w:cs="Times New Roman"/>
                <w:color w:val="auto"/>
                <w:kern w:val="0"/>
                <w:szCs w:val="21"/>
                <w:highlight w:val="none"/>
                <w:lang w:eastAsia="zh-CN"/>
              </w:rPr>
              <w:t>。</w:t>
            </w:r>
          </w:p>
          <w:p w14:paraId="625466EE">
            <w:pPr>
              <w:numPr>
                <w:ilvl w:val="0"/>
                <w:numId w:val="0"/>
              </w:numPr>
              <w:snapToGrid w:val="0"/>
              <w:spacing w:line="360" w:lineRule="exact"/>
              <w:ind w:firstLine="420" w:firstLineChars="200"/>
              <w:rPr>
                <w:rFonts w:hint="eastAsia"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 w:val="21"/>
                <w:szCs w:val="21"/>
                <w:highlight w:val="none"/>
                <w:lang w:val="en-US" w:eastAsia="zh-CN" w:bidi="ar-SA"/>
              </w:rPr>
              <w:t>2.</w:t>
            </w: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rPr>
              <w:t>至投标截止时间，以合同签订时间为准），至少完成过单车道累计里程不少于</w:t>
            </w:r>
            <w:r>
              <w:rPr>
                <w:rFonts w:hint="eastAsia" w:ascii="Times New Roman" w:hAnsi="Times New Roman"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000km（含）的高速公路路面技术状况检测项目业绩。</w:t>
            </w:r>
          </w:p>
          <w:p w14:paraId="640389B1">
            <w:pPr>
              <w:numPr>
                <w:ilvl w:val="0"/>
                <w:numId w:val="0"/>
              </w:numPr>
              <w:snapToGrid w:val="0"/>
              <w:spacing w:line="360" w:lineRule="exact"/>
              <w:ind w:firstLine="420" w:firstLineChars="200"/>
              <w:rPr>
                <w:rFonts w:hint="eastAsia" w:ascii="Times New Roman" w:hAnsi="Times New Roman" w:cs="Times New Roman"/>
                <w:color w:val="auto"/>
                <w:kern w:val="0"/>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bidi="ar-SA"/>
              </w:rPr>
              <w:t>3.</w:t>
            </w: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rPr>
              <w:t>至投标截止时间，以合同签订时间为准），至少完成过单车道累计里程不少于</w:t>
            </w:r>
            <w:r>
              <w:rPr>
                <w:rFonts w:hint="eastAsia" w:ascii="Times New Roman" w:hAnsi="Times New Roman"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000km（含）的高速公路路面技术状况数据处理与评定业绩</w:t>
            </w:r>
            <w:r>
              <w:rPr>
                <w:rFonts w:hint="eastAsia" w:ascii="Times New Roman" w:hAnsi="Times New Roman" w:cs="Times New Roman"/>
                <w:color w:val="auto"/>
                <w:kern w:val="0"/>
                <w:szCs w:val="21"/>
                <w:highlight w:val="none"/>
                <w:lang w:val="en-US" w:eastAsia="zh-CN"/>
              </w:rPr>
              <w:t>。</w:t>
            </w:r>
          </w:p>
          <w:p w14:paraId="38A5FF85">
            <w:pPr>
              <w:numPr>
                <w:ilvl w:val="0"/>
                <w:numId w:val="0"/>
              </w:numPr>
              <w:snapToGrid w:val="0"/>
              <w:spacing w:line="360" w:lineRule="exact"/>
              <w:ind w:firstLine="420" w:firstLineChars="200"/>
              <w:rPr>
                <w:rFonts w:hint="eastAsia" w:ascii="Times New Roman" w:hAnsi="Times New Roman" w:cs="Times New Roman"/>
                <w:color w:val="auto"/>
                <w:kern w:val="0"/>
                <w:szCs w:val="21"/>
                <w:highlight w:val="none"/>
                <w:lang w:val="en-US" w:eastAsia="zh-CN"/>
              </w:rPr>
            </w:pPr>
            <w:r>
              <w:rPr>
                <w:rFonts w:hint="eastAsia" w:ascii="Times New Roman" w:hAnsi="Times New Roman" w:cs="Times New Roman"/>
                <w:color w:val="auto"/>
                <w:kern w:val="0"/>
                <w:szCs w:val="21"/>
                <w:highlight w:val="none"/>
                <w:lang w:val="en-US" w:eastAsia="zh-CN"/>
              </w:rPr>
              <w:t>4.近5年（2021年7月1日至投标截止时间，以合同签订时间为准），至少完成过单车道累计长度不少于5000延米（含）的高速公路桥梁检测评定项目和1座高速公路长隧道或特长隧道定期检测评定项目（含土建）业绩。</w:t>
            </w:r>
          </w:p>
          <w:p w14:paraId="6CAF5482">
            <w:pPr>
              <w:numPr>
                <w:ilvl w:val="0"/>
                <w:numId w:val="0"/>
              </w:numPr>
              <w:snapToGrid w:val="0"/>
              <w:spacing w:line="360" w:lineRule="exact"/>
              <w:ind w:firstLine="420" w:firstLineChars="200"/>
              <w:rPr>
                <w:rFonts w:hint="eastAsia" w:ascii="Times New Roman" w:hAnsi="Times New Roman" w:cs="Times New Roman"/>
                <w:color w:val="auto"/>
                <w:kern w:val="0"/>
                <w:szCs w:val="21"/>
                <w:highlight w:val="none"/>
                <w:lang w:val="en-US" w:eastAsia="zh-CN"/>
              </w:rPr>
            </w:pPr>
            <w:r>
              <w:rPr>
                <w:rFonts w:hint="eastAsia" w:ascii="Times New Roman" w:hAnsi="Times New Roman" w:cs="Times New Roman"/>
                <w:color w:val="auto"/>
                <w:kern w:val="0"/>
                <w:szCs w:val="21"/>
                <w:highlight w:val="none"/>
                <w:lang w:val="en-US" w:eastAsia="zh-CN"/>
              </w:rPr>
              <w:t>5.近5年（2021年7月1日至投标截止时间，以合同签订时间为准），至少完成过单车道累计里程不少于2000km（含）的高速公路交通安全设施技术检测评定项目业绩。</w:t>
            </w:r>
          </w:p>
          <w:p w14:paraId="482EA774">
            <w:pPr>
              <w:numPr>
                <w:ilvl w:val="0"/>
                <w:numId w:val="0"/>
              </w:numPr>
              <w:snapToGrid w:val="0"/>
              <w:spacing w:line="360" w:lineRule="exact"/>
              <w:ind w:firstLine="420" w:firstLineChars="200"/>
              <w:rPr>
                <w:rFonts w:hint="default" w:ascii="Times New Roman" w:hAnsi="Times New Roman" w:cs="Times New Roman"/>
                <w:color w:val="auto"/>
                <w:kern w:val="0"/>
                <w:szCs w:val="21"/>
                <w:highlight w:val="none"/>
                <w:lang w:val="en-US" w:eastAsia="zh-CN"/>
              </w:rPr>
            </w:pPr>
            <w:r>
              <w:rPr>
                <w:rFonts w:hint="eastAsia" w:ascii="Times New Roman" w:hAnsi="Times New Roman" w:cs="Times New Roman"/>
                <w:color w:val="auto"/>
                <w:kern w:val="0"/>
                <w:szCs w:val="21"/>
                <w:highlight w:val="none"/>
                <w:lang w:val="en-US" w:eastAsia="zh-CN"/>
              </w:rPr>
              <w:t>6.近5年（2021年7月1日至投标截止时间，以合同签订时间为准），至少完成过单车道累计里程不少于2000km（含）的高速公路养护对策咨询业绩。</w:t>
            </w:r>
          </w:p>
          <w:p w14:paraId="089DCE92">
            <w:pPr>
              <w:snapToGrid w:val="0"/>
              <w:spacing w:line="360" w:lineRule="exact"/>
              <w:ind w:firstLine="420" w:firstLineChars="200"/>
              <w:rPr>
                <w:rFonts w:hint="default" w:ascii="Times New Roman" w:hAnsi="Times New Roman" w:cs="Times New Roman"/>
                <w:strike/>
                <w:color w:val="auto"/>
                <w:kern w:val="0"/>
                <w:szCs w:val="21"/>
                <w:highlight w:val="none"/>
              </w:rPr>
            </w:pPr>
            <w:r>
              <w:rPr>
                <w:rFonts w:hint="default" w:ascii="Times New Roman" w:hAnsi="Times New Roman" w:cs="Times New Roman"/>
                <w:color w:val="auto"/>
                <w:kern w:val="0"/>
                <w:szCs w:val="21"/>
                <w:highlight w:val="none"/>
              </w:rPr>
              <w:t>以联合体形式投标的，联合体</w:t>
            </w:r>
            <w:r>
              <w:rPr>
                <w:rFonts w:hint="eastAsia" w:ascii="Times New Roman" w:hAnsi="Times New Roman" w:cs="Times New Roman"/>
                <w:color w:val="auto"/>
                <w:kern w:val="0"/>
                <w:szCs w:val="21"/>
                <w:highlight w:val="none"/>
                <w:lang w:eastAsia="zh-CN"/>
              </w:rPr>
              <w:t>各方须按联合体协议书中</w:t>
            </w:r>
            <w:r>
              <w:rPr>
                <w:rFonts w:hint="eastAsia" w:ascii="Times New Roman" w:hAnsi="Times New Roman" w:cs="Times New Roman"/>
                <w:color w:val="auto"/>
                <w:kern w:val="0"/>
                <w:szCs w:val="21"/>
                <w:highlight w:val="none"/>
                <w:lang w:val="en-US" w:eastAsia="zh-CN"/>
              </w:rPr>
              <w:t>的</w:t>
            </w:r>
            <w:r>
              <w:rPr>
                <w:rFonts w:hint="eastAsia" w:ascii="Times New Roman" w:hAnsi="Times New Roman" w:cs="Times New Roman"/>
                <w:color w:val="auto"/>
                <w:kern w:val="0"/>
                <w:szCs w:val="21"/>
                <w:highlight w:val="none"/>
                <w:lang w:eastAsia="zh-CN"/>
              </w:rPr>
              <w:t>分工提供</w:t>
            </w:r>
            <w:r>
              <w:rPr>
                <w:rFonts w:hint="default" w:ascii="Times New Roman" w:hAnsi="Times New Roman" w:cs="Times New Roman"/>
                <w:color w:val="auto"/>
                <w:kern w:val="0"/>
                <w:szCs w:val="21"/>
                <w:highlight w:val="none"/>
              </w:rPr>
              <w:t>满足本项规定的</w:t>
            </w:r>
            <w:r>
              <w:rPr>
                <w:rFonts w:hint="eastAsia" w:ascii="Times New Roman" w:hAnsi="Times New Roman" w:cs="Times New Roman"/>
                <w:color w:val="auto"/>
                <w:kern w:val="0"/>
                <w:szCs w:val="21"/>
                <w:highlight w:val="none"/>
                <w:lang w:val="en-US" w:eastAsia="zh-CN"/>
              </w:rPr>
              <w:t>相应</w:t>
            </w:r>
            <w:r>
              <w:rPr>
                <w:rFonts w:hint="default" w:ascii="Times New Roman" w:hAnsi="Times New Roman" w:cs="Times New Roman"/>
                <w:color w:val="auto"/>
                <w:kern w:val="0"/>
                <w:szCs w:val="21"/>
                <w:highlight w:val="none"/>
              </w:rPr>
              <w:t>资格</w:t>
            </w:r>
            <w:r>
              <w:rPr>
                <w:rFonts w:hint="eastAsia" w:ascii="Times New Roman" w:hAnsi="Times New Roman" w:cs="Times New Roman"/>
                <w:color w:val="auto"/>
                <w:kern w:val="0"/>
                <w:szCs w:val="21"/>
                <w:highlight w:val="none"/>
                <w:lang w:eastAsia="zh-CN"/>
              </w:rPr>
              <w:t>审查</w:t>
            </w:r>
            <w:r>
              <w:rPr>
                <w:rFonts w:hint="default" w:ascii="Times New Roman" w:hAnsi="Times New Roman" w:cs="Times New Roman"/>
                <w:color w:val="auto"/>
                <w:kern w:val="0"/>
                <w:szCs w:val="21"/>
                <w:highlight w:val="none"/>
              </w:rPr>
              <w:t>条件</w:t>
            </w:r>
            <w:r>
              <w:rPr>
                <w:rFonts w:hint="eastAsia" w:ascii="Times New Roman" w:hAnsi="Times New Roman" w:cs="Times New Roman"/>
                <w:color w:val="auto"/>
                <w:kern w:val="0"/>
                <w:szCs w:val="21"/>
                <w:highlight w:val="none"/>
                <w:lang w:eastAsia="zh-CN"/>
              </w:rPr>
              <w:t>的业绩</w:t>
            </w:r>
            <w:r>
              <w:rPr>
                <w:rFonts w:hint="default" w:ascii="Times New Roman" w:hAnsi="Times New Roman" w:cs="Times New Roman"/>
                <w:color w:val="auto"/>
                <w:kern w:val="0"/>
                <w:szCs w:val="21"/>
                <w:highlight w:val="none"/>
              </w:rPr>
              <w:t>。</w:t>
            </w:r>
          </w:p>
        </w:tc>
      </w:tr>
    </w:tbl>
    <w:p w14:paraId="1750613F">
      <w:pPr>
        <w:ind w:firstLine="480"/>
        <w:rPr>
          <w:rFonts w:hint="default" w:ascii="Times New Roman" w:hAnsi="Times New Roman" w:cs="Times New Roman"/>
          <w:color w:val="auto"/>
          <w:sz w:val="24"/>
          <w:szCs w:val="24"/>
          <w:highlight w:val="none"/>
        </w:rPr>
      </w:pPr>
    </w:p>
    <w:p w14:paraId="29CCB4E8">
      <w:pPr>
        <w:ind w:firstLine="480"/>
        <w:rPr>
          <w:rFonts w:hint="default" w:ascii="Times New Roman" w:hAnsi="Times New Roman" w:cs="Times New Roman"/>
          <w:color w:val="auto"/>
          <w:sz w:val="24"/>
          <w:szCs w:val="24"/>
          <w:highlight w:val="none"/>
        </w:rPr>
      </w:pPr>
    </w:p>
    <w:p w14:paraId="4CE1AE08">
      <w:pPr>
        <w:ind w:firstLine="482"/>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附录3  资格审查条件（信誉最低要求）</w:t>
      </w:r>
    </w:p>
    <w:p w14:paraId="33C5192A">
      <w:pPr>
        <w:ind w:firstLine="482"/>
        <w:jc w:val="center"/>
        <w:rPr>
          <w:rFonts w:hint="default" w:ascii="Times New Roman" w:hAnsi="Times New Roman" w:cs="Times New Roman"/>
          <w:b/>
          <w:color w:val="auto"/>
          <w:sz w:val="24"/>
          <w:szCs w:val="24"/>
          <w:highlight w:val="none"/>
        </w:rPr>
      </w:pPr>
    </w:p>
    <w:tbl>
      <w:tblPr>
        <w:tblStyle w:val="6"/>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1"/>
      </w:tblGrid>
      <w:tr w14:paraId="4F5D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11" w:type="dxa"/>
            <w:vAlign w:val="center"/>
          </w:tcPr>
          <w:p w14:paraId="6B9C3027">
            <w:pPr>
              <w:ind w:firstLine="42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信誉要求</w:t>
            </w:r>
          </w:p>
        </w:tc>
      </w:tr>
      <w:tr w14:paraId="530A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9211" w:type="dxa"/>
            <w:vAlign w:val="center"/>
          </w:tcPr>
          <w:p w14:paraId="18738A9D">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投标人在过去1年中（202</w:t>
            </w:r>
            <w:r>
              <w:rPr>
                <w:rFonts w:hint="default" w:ascii="Times New Roman" w:hAnsi="Times New Roman" w:cs="Times New Roman"/>
                <w:color w:val="auto"/>
                <w:kern w:val="0"/>
                <w:szCs w:val="21"/>
                <w:highlight w:val="none"/>
                <w:lang w:val="en-US" w:eastAsia="zh-CN"/>
              </w:rPr>
              <w:t>5</w:t>
            </w:r>
            <w:r>
              <w:rPr>
                <w:rFonts w:hint="default" w:ascii="Times New Roman" w:hAnsi="Times New Roman" w:cs="Times New Roman"/>
                <w:color w:val="auto"/>
                <w:kern w:val="0"/>
                <w:szCs w:val="21"/>
                <w:highlight w:val="none"/>
              </w:rPr>
              <w:t>年</w:t>
            </w:r>
            <w:r>
              <w:rPr>
                <w:rFonts w:hint="eastAsia" w:ascii="Times New Roman" w:hAnsi="Times New Roman" w:cs="Times New Roman"/>
                <w:color w:val="auto"/>
                <w:kern w:val="0"/>
                <w:szCs w:val="21"/>
                <w:highlight w:val="none"/>
                <w:lang w:val="en-US" w:eastAsia="zh-CN"/>
              </w:rPr>
              <w:t>7</w:t>
            </w:r>
            <w:r>
              <w:rPr>
                <w:rFonts w:hint="default" w:ascii="Times New Roman" w:hAnsi="Times New Roman" w:cs="Times New Roman"/>
                <w:color w:val="auto"/>
                <w:kern w:val="0"/>
                <w:szCs w:val="21"/>
                <w:highlight w:val="none"/>
                <w:lang w:eastAsia="zh-CN"/>
              </w:rPr>
              <w:t>月1日</w:t>
            </w:r>
            <w:r>
              <w:rPr>
                <w:rFonts w:hint="default" w:ascii="Times New Roman" w:hAnsi="Times New Roman" w:cs="Times New Roman"/>
                <w:color w:val="auto"/>
                <w:kern w:val="0"/>
                <w:szCs w:val="21"/>
                <w:highlight w:val="none"/>
              </w:rPr>
              <w:t>至投标截止时间）不曾在高速公路检测合同中违约被驱逐或因投标人自身的原因而使合同被解除。</w:t>
            </w:r>
          </w:p>
          <w:p w14:paraId="7718676D">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以联合体形式投标的，联合体各成员均</w:t>
            </w:r>
            <w:r>
              <w:rPr>
                <w:rFonts w:hint="eastAsia" w:ascii="Times New Roman" w:hAnsi="Times New Roman" w:cs="Times New Roman"/>
                <w:color w:val="auto"/>
                <w:kern w:val="0"/>
                <w:szCs w:val="21"/>
                <w:highlight w:val="none"/>
                <w:lang w:eastAsia="zh-CN"/>
              </w:rPr>
              <w:t>须</w:t>
            </w:r>
            <w:r>
              <w:rPr>
                <w:rFonts w:hint="default" w:ascii="Times New Roman" w:hAnsi="Times New Roman" w:cs="Times New Roman"/>
                <w:color w:val="auto"/>
                <w:kern w:val="0"/>
                <w:szCs w:val="21"/>
                <w:highlight w:val="none"/>
              </w:rPr>
              <w:t>满足本项规定的资格条件。</w:t>
            </w:r>
          </w:p>
        </w:tc>
      </w:tr>
    </w:tbl>
    <w:p w14:paraId="619A17B0">
      <w:pPr>
        <w:ind w:firstLine="480"/>
        <w:rPr>
          <w:rFonts w:hint="default" w:ascii="Times New Roman" w:hAnsi="Times New Roman" w:cs="Times New Roman"/>
          <w:color w:val="auto"/>
          <w:sz w:val="24"/>
          <w:szCs w:val="24"/>
          <w:highlight w:val="none"/>
        </w:rPr>
      </w:pPr>
    </w:p>
    <w:p w14:paraId="71305389">
      <w:pPr>
        <w:ind w:firstLine="482"/>
        <w:jc w:val="center"/>
        <w:rPr>
          <w:rFonts w:hint="default" w:ascii="Times New Roman" w:hAnsi="Times New Roman" w:cs="Times New Roman"/>
          <w:b/>
          <w:color w:val="auto"/>
          <w:sz w:val="24"/>
          <w:szCs w:val="24"/>
          <w:highlight w:val="none"/>
        </w:rPr>
      </w:pPr>
    </w:p>
    <w:p w14:paraId="434F3184">
      <w:pPr>
        <w:ind w:firstLine="482"/>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附录4  资格审查条件（项目负责人</w:t>
      </w:r>
      <w:r>
        <w:rPr>
          <w:rFonts w:hint="default" w:ascii="Times New Roman" w:hAnsi="Times New Roman" w:cs="Times New Roman"/>
          <w:b/>
          <w:color w:val="auto"/>
          <w:sz w:val="24"/>
          <w:szCs w:val="24"/>
          <w:highlight w:val="none"/>
          <w:lang w:eastAsia="zh-CN"/>
        </w:rPr>
        <w:t>和技术负责人</w:t>
      </w:r>
      <w:r>
        <w:rPr>
          <w:rFonts w:hint="default" w:ascii="Times New Roman" w:hAnsi="Times New Roman" w:cs="Times New Roman"/>
          <w:b/>
          <w:color w:val="auto"/>
          <w:sz w:val="24"/>
          <w:szCs w:val="24"/>
          <w:highlight w:val="none"/>
        </w:rPr>
        <w:t>最低要求）</w:t>
      </w:r>
    </w:p>
    <w:p w14:paraId="0FCD88F7">
      <w:pPr>
        <w:ind w:firstLine="482"/>
        <w:jc w:val="center"/>
        <w:rPr>
          <w:rFonts w:hint="default" w:ascii="Times New Roman" w:hAnsi="Times New Roman" w:cs="Times New Roman"/>
          <w:b/>
          <w:color w:val="auto"/>
          <w:sz w:val="24"/>
          <w:szCs w:val="24"/>
          <w:highlight w:val="none"/>
        </w:rPr>
      </w:pPr>
    </w:p>
    <w:tbl>
      <w:tblPr>
        <w:tblStyle w:val="6"/>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92"/>
        <w:gridCol w:w="737"/>
        <w:gridCol w:w="6676"/>
      </w:tblGrid>
      <w:tr w14:paraId="1899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738" w:type="dxa"/>
            <w:gridSpan w:val="2"/>
            <w:vAlign w:val="center"/>
          </w:tcPr>
          <w:p w14:paraId="7B9AC3D4">
            <w:pPr>
              <w:jc w:val="center"/>
              <w:rPr>
                <w:rFonts w:hint="default" w:ascii="Times New Roman" w:hAnsi="Times New Roman" w:cs="Times New Roman"/>
                <w:color w:val="auto"/>
                <w:szCs w:val="21"/>
                <w:highlight w:val="none"/>
              </w:rPr>
            </w:pPr>
            <w:bookmarkStart w:id="6" w:name="_Toc146029311"/>
            <w:bookmarkStart w:id="7" w:name="_Toc141783237"/>
            <w:bookmarkStart w:id="8" w:name="_Toc146320978"/>
            <w:r>
              <w:rPr>
                <w:rFonts w:hint="default" w:ascii="Times New Roman" w:hAnsi="Times New Roman" w:cs="Times New Roman"/>
                <w:color w:val="auto"/>
                <w:szCs w:val="21"/>
                <w:highlight w:val="none"/>
              </w:rPr>
              <w:t>人员</w:t>
            </w:r>
          </w:p>
        </w:tc>
        <w:tc>
          <w:tcPr>
            <w:tcW w:w="737" w:type="dxa"/>
            <w:vAlign w:val="center"/>
          </w:tcPr>
          <w:p w14:paraId="6AB1F28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6676" w:type="dxa"/>
            <w:vAlign w:val="center"/>
          </w:tcPr>
          <w:p w14:paraId="5097378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资格要求</w:t>
            </w:r>
          </w:p>
        </w:tc>
      </w:tr>
      <w:tr w14:paraId="4CF3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atLeast"/>
          <w:jc w:val="center"/>
        </w:trPr>
        <w:tc>
          <w:tcPr>
            <w:tcW w:w="1738" w:type="dxa"/>
            <w:gridSpan w:val="2"/>
            <w:vAlign w:val="center"/>
          </w:tcPr>
          <w:p w14:paraId="4ED7159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项目负责人</w:t>
            </w:r>
          </w:p>
        </w:tc>
        <w:tc>
          <w:tcPr>
            <w:tcW w:w="737" w:type="dxa"/>
            <w:vAlign w:val="center"/>
          </w:tcPr>
          <w:p w14:paraId="3CBBEC8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676" w:type="dxa"/>
            <w:vAlign w:val="center"/>
          </w:tcPr>
          <w:p w14:paraId="76FAD131">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高级工程师；</w:t>
            </w:r>
          </w:p>
          <w:p w14:paraId="65619EE2">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具有交通运输部工程质量监督局颁发的试验检测工程师资格证书，或交通运输部职业资格中心颁发的公路水运工程试验检测师资格证书，且在“公路水运工程质量检测管理信息系统（https://www.ttiis.cn）”中进行登记</w:t>
            </w:r>
            <w:r>
              <w:rPr>
                <w:rFonts w:hint="eastAsia" w:ascii="Times New Roman" w:hAnsi="Times New Roman" w:cs="Times New Roman"/>
                <w:kern w:val="0"/>
                <w:szCs w:val="21"/>
                <w:highlight w:val="none"/>
                <w:lang w:eastAsia="zh-CN"/>
              </w:rPr>
              <w:t>，</w:t>
            </w:r>
            <w:r>
              <w:rPr>
                <w:rFonts w:hint="eastAsia" w:ascii="Times New Roman" w:hAnsi="Times New Roman" w:cs="Times New Roman"/>
                <w:color w:val="auto"/>
                <w:kern w:val="0"/>
                <w:szCs w:val="21"/>
                <w:highlight w:val="none"/>
                <w:lang w:eastAsia="zh-CN"/>
              </w:rPr>
              <w:t>登记单位与投标人名称一致</w:t>
            </w:r>
            <w:r>
              <w:rPr>
                <w:rFonts w:hint="eastAsia" w:ascii="Times New Roman" w:hAnsi="Times New Roman" w:cs="Times New Roman"/>
                <w:color w:val="auto"/>
                <w:kern w:val="0"/>
                <w:szCs w:val="21"/>
                <w:highlight w:val="none"/>
                <w:lang w:val="en-US" w:eastAsia="zh-CN"/>
              </w:rPr>
              <w:t>。</w:t>
            </w:r>
          </w:p>
          <w:p w14:paraId="2F3CDEC0">
            <w:pPr>
              <w:snapToGrid w:val="0"/>
              <w:spacing w:line="360" w:lineRule="exact"/>
              <w:ind w:firstLine="420" w:firstLineChars="200"/>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lang w:eastAsia="zh-CN"/>
              </w:rPr>
              <w:t>至投标截止时间</w:t>
            </w:r>
            <w:r>
              <w:rPr>
                <w:rFonts w:hint="default" w:ascii="Times New Roman" w:hAnsi="Times New Roman" w:cs="Times New Roman"/>
                <w:color w:val="auto"/>
                <w:kern w:val="0"/>
                <w:szCs w:val="21"/>
                <w:highlight w:val="none"/>
              </w:rPr>
              <w:t>，以合同签订时间为准）至少担任过1项高速公路技术状况定期检测项目的项目负责人。</w:t>
            </w:r>
          </w:p>
          <w:p w14:paraId="512F57EC">
            <w:pPr>
              <w:snapToGrid w:val="0"/>
              <w:spacing w:line="36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以联合体形式投标的，项目负责人应由联合体牵头人委派。</w:t>
            </w:r>
          </w:p>
        </w:tc>
      </w:tr>
      <w:tr w14:paraId="6E96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846" w:type="dxa"/>
            <w:vMerge w:val="restart"/>
            <w:vAlign w:val="center"/>
          </w:tcPr>
          <w:p w14:paraId="2398A7A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技术负责人</w:t>
            </w:r>
          </w:p>
        </w:tc>
        <w:tc>
          <w:tcPr>
            <w:tcW w:w="892" w:type="dxa"/>
            <w:vAlign w:val="center"/>
          </w:tcPr>
          <w:p w14:paraId="35412F15">
            <w:pPr>
              <w:jc w:val="center"/>
              <w:rPr>
                <w:rFonts w:hint="default" w:ascii="Times New Roman" w:hAnsi="Times New Roman" w:cs="Times New Roman"/>
                <w:color w:val="auto"/>
                <w:szCs w:val="21"/>
                <w:highlight w:val="none"/>
              </w:rPr>
            </w:pPr>
            <w:r>
              <w:rPr>
                <w:rFonts w:hint="eastAsia" w:ascii="Times New Roman" w:hAnsi="Times New Roman" w:cs="Times New Roman"/>
                <w:color w:val="auto"/>
                <w:kern w:val="0"/>
                <w:szCs w:val="21"/>
                <w:highlight w:val="none"/>
                <w:lang w:eastAsia="zh-CN"/>
              </w:rPr>
              <w:t>路面</w:t>
            </w:r>
            <w:r>
              <w:rPr>
                <w:rFonts w:hint="default" w:ascii="Times New Roman" w:hAnsi="Times New Roman" w:cs="Times New Roman"/>
                <w:color w:val="auto"/>
                <w:kern w:val="0"/>
                <w:szCs w:val="21"/>
                <w:highlight w:val="none"/>
              </w:rPr>
              <w:t>检测技术负责人</w:t>
            </w:r>
          </w:p>
        </w:tc>
        <w:tc>
          <w:tcPr>
            <w:tcW w:w="737" w:type="dxa"/>
            <w:vAlign w:val="center"/>
          </w:tcPr>
          <w:p w14:paraId="0CD5226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676" w:type="dxa"/>
            <w:vAlign w:val="center"/>
          </w:tcPr>
          <w:p w14:paraId="0285931B">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高级工程师；</w:t>
            </w:r>
          </w:p>
          <w:p w14:paraId="2AD375BB">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具有交通运输部工程质量监督局颁发的试验检测工程师资格证书，或交通运输部职业资格中心颁发的公路水运工程试验检测师资格证书；且在“公路水运工程质量检测管理信息系统（https://www.ttiis.cn）”中进行登记</w:t>
            </w:r>
            <w:r>
              <w:rPr>
                <w:rFonts w:hint="eastAsia" w:ascii="Times New Roman" w:hAnsi="Times New Roman" w:cs="Times New Roman"/>
                <w:kern w:val="0"/>
                <w:szCs w:val="21"/>
                <w:highlight w:val="none"/>
                <w:lang w:eastAsia="zh-CN"/>
              </w:rPr>
              <w:t>，</w:t>
            </w:r>
            <w:r>
              <w:rPr>
                <w:rFonts w:hint="eastAsia" w:ascii="Times New Roman" w:hAnsi="Times New Roman" w:cs="Times New Roman"/>
                <w:color w:val="auto"/>
                <w:kern w:val="0"/>
                <w:szCs w:val="21"/>
                <w:highlight w:val="none"/>
                <w:lang w:eastAsia="zh-CN"/>
              </w:rPr>
              <w:t>登记单位与投标人名称一致</w:t>
            </w:r>
            <w:r>
              <w:rPr>
                <w:rFonts w:hint="eastAsia" w:ascii="Times New Roman" w:hAnsi="Times New Roman" w:cs="Times New Roman"/>
                <w:color w:val="auto"/>
                <w:kern w:val="0"/>
                <w:szCs w:val="21"/>
                <w:highlight w:val="none"/>
                <w:lang w:val="en-US" w:eastAsia="zh-CN"/>
              </w:rPr>
              <w:t>。</w:t>
            </w:r>
          </w:p>
          <w:p w14:paraId="58E74DD2">
            <w:pPr>
              <w:snapToGrid w:val="0"/>
              <w:spacing w:line="360" w:lineRule="exact"/>
              <w:ind w:firstLine="420" w:firstLineChars="200"/>
              <w:rPr>
                <w:rFonts w:hint="eastAsia"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lang w:eastAsia="zh-CN"/>
              </w:rPr>
              <w:t>至投标截止时间</w:t>
            </w:r>
            <w:r>
              <w:rPr>
                <w:rFonts w:hint="default" w:ascii="Times New Roman" w:hAnsi="Times New Roman" w:cs="Times New Roman"/>
                <w:color w:val="auto"/>
                <w:kern w:val="0"/>
                <w:szCs w:val="21"/>
                <w:highlight w:val="none"/>
              </w:rPr>
              <w:t>，以合同签订时间为准），至少担任过1项高速公路技术状况定期检测项目（</w:t>
            </w:r>
            <w:r>
              <w:rPr>
                <w:rFonts w:hint="eastAsia" w:ascii="Times New Roman" w:hAnsi="Times New Roman" w:cs="Times New Roman"/>
                <w:color w:val="auto"/>
                <w:kern w:val="0"/>
                <w:szCs w:val="21"/>
                <w:highlight w:val="none"/>
                <w:lang w:eastAsia="zh-CN"/>
              </w:rPr>
              <w:t>含</w:t>
            </w:r>
            <w:r>
              <w:rPr>
                <w:rFonts w:hint="default" w:ascii="Times New Roman" w:hAnsi="Times New Roman" w:cs="Times New Roman"/>
                <w:color w:val="auto"/>
                <w:kern w:val="0"/>
                <w:szCs w:val="21"/>
                <w:highlight w:val="none"/>
              </w:rPr>
              <w:t>路面）的技术负责人（或项目负责人）</w:t>
            </w:r>
            <w:r>
              <w:rPr>
                <w:rFonts w:hint="eastAsia" w:ascii="Times New Roman" w:hAnsi="Times New Roman" w:cs="Times New Roman"/>
                <w:color w:val="auto"/>
                <w:kern w:val="0"/>
                <w:szCs w:val="21"/>
                <w:highlight w:val="none"/>
                <w:lang w:eastAsia="zh-CN"/>
              </w:rPr>
              <w:t>。</w:t>
            </w:r>
          </w:p>
        </w:tc>
      </w:tr>
      <w:tr w14:paraId="4F71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46" w:type="dxa"/>
            <w:vMerge w:val="continue"/>
            <w:vAlign w:val="center"/>
          </w:tcPr>
          <w:p w14:paraId="369237F6">
            <w:pPr>
              <w:jc w:val="center"/>
              <w:rPr>
                <w:rFonts w:hint="default" w:ascii="Times New Roman" w:hAnsi="Times New Roman" w:cs="Times New Roman"/>
                <w:color w:val="auto"/>
                <w:szCs w:val="21"/>
                <w:highlight w:val="none"/>
              </w:rPr>
            </w:pPr>
          </w:p>
        </w:tc>
        <w:tc>
          <w:tcPr>
            <w:tcW w:w="892" w:type="dxa"/>
            <w:vAlign w:val="center"/>
          </w:tcPr>
          <w:p w14:paraId="404D82E9">
            <w:pPr>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桥隧检测技术负责人</w:t>
            </w:r>
          </w:p>
        </w:tc>
        <w:tc>
          <w:tcPr>
            <w:tcW w:w="737" w:type="dxa"/>
            <w:vAlign w:val="center"/>
          </w:tcPr>
          <w:p w14:paraId="0524CCA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676" w:type="dxa"/>
            <w:vAlign w:val="center"/>
          </w:tcPr>
          <w:p w14:paraId="15B77B36">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高级工程师；</w:t>
            </w:r>
          </w:p>
          <w:p w14:paraId="3B84A011">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具有交通运输部工程质量监督局颁发的试验检测工程师资格证书，或交通运输部职业资格中心颁发的公路水运工程试验检测师资格证书；且在“公路水运工程质量检测管理信息系统（https://www.ttiis.cn）”中进行登记</w:t>
            </w:r>
            <w:r>
              <w:rPr>
                <w:rFonts w:hint="eastAsia" w:ascii="Times New Roman" w:hAnsi="Times New Roman" w:cs="Times New Roman"/>
                <w:kern w:val="0"/>
                <w:szCs w:val="21"/>
                <w:highlight w:val="none"/>
                <w:lang w:eastAsia="zh-CN"/>
              </w:rPr>
              <w:t>，</w:t>
            </w:r>
            <w:r>
              <w:rPr>
                <w:rFonts w:hint="eastAsia" w:ascii="Times New Roman" w:hAnsi="Times New Roman" w:cs="Times New Roman"/>
                <w:color w:val="auto"/>
                <w:kern w:val="0"/>
                <w:szCs w:val="21"/>
                <w:highlight w:val="none"/>
                <w:lang w:eastAsia="zh-CN"/>
              </w:rPr>
              <w:t>登记单位与投标人名称一致</w:t>
            </w:r>
            <w:r>
              <w:rPr>
                <w:rFonts w:hint="eastAsia" w:ascii="Times New Roman" w:hAnsi="Times New Roman" w:cs="Times New Roman"/>
                <w:color w:val="auto"/>
                <w:kern w:val="0"/>
                <w:szCs w:val="21"/>
                <w:highlight w:val="none"/>
                <w:lang w:val="en-US" w:eastAsia="zh-CN"/>
              </w:rPr>
              <w:t>。</w:t>
            </w:r>
          </w:p>
          <w:p w14:paraId="56BC88D9">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lang w:eastAsia="zh-CN"/>
              </w:rPr>
              <w:t>至投标截止时间</w:t>
            </w:r>
            <w:r>
              <w:rPr>
                <w:rFonts w:hint="default" w:ascii="Times New Roman" w:hAnsi="Times New Roman" w:cs="Times New Roman"/>
                <w:color w:val="auto"/>
                <w:kern w:val="0"/>
                <w:szCs w:val="21"/>
                <w:highlight w:val="none"/>
              </w:rPr>
              <w:t>，以合同签订时间为准），至少担任过1项高速公路技术状况定期检测项目（</w:t>
            </w:r>
            <w:r>
              <w:rPr>
                <w:rFonts w:hint="eastAsia" w:ascii="Times New Roman" w:hAnsi="Times New Roman" w:cs="Times New Roman"/>
                <w:color w:val="auto"/>
                <w:kern w:val="0"/>
                <w:szCs w:val="21"/>
                <w:highlight w:val="none"/>
                <w:lang w:eastAsia="zh-CN"/>
              </w:rPr>
              <w:t>含桥隧</w:t>
            </w:r>
            <w:r>
              <w:rPr>
                <w:rFonts w:hint="default" w:ascii="Times New Roman" w:hAnsi="Times New Roman" w:cs="Times New Roman"/>
                <w:color w:val="auto"/>
                <w:kern w:val="0"/>
                <w:szCs w:val="21"/>
                <w:highlight w:val="none"/>
              </w:rPr>
              <w:t>）的技术负责人（或项目负责人）</w:t>
            </w:r>
            <w:r>
              <w:rPr>
                <w:rFonts w:hint="eastAsia" w:ascii="Times New Roman" w:hAnsi="Times New Roman" w:cs="Times New Roman"/>
                <w:color w:val="auto"/>
                <w:kern w:val="0"/>
                <w:szCs w:val="21"/>
                <w:highlight w:val="none"/>
                <w:lang w:eastAsia="zh-CN"/>
              </w:rPr>
              <w:t>。</w:t>
            </w:r>
          </w:p>
        </w:tc>
      </w:tr>
      <w:tr w14:paraId="00AC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46" w:type="dxa"/>
            <w:vMerge w:val="continue"/>
            <w:vAlign w:val="center"/>
          </w:tcPr>
          <w:p w14:paraId="1A4CEDC1">
            <w:pPr>
              <w:jc w:val="center"/>
              <w:rPr>
                <w:rFonts w:hint="default" w:ascii="Times New Roman" w:hAnsi="Times New Roman" w:cs="Times New Roman"/>
                <w:color w:val="auto"/>
                <w:szCs w:val="21"/>
                <w:highlight w:val="none"/>
              </w:rPr>
            </w:pPr>
          </w:p>
        </w:tc>
        <w:tc>
          <w:tcPr>
            <w:tcW w:w="892" w:type="dxa"/>
            <w:shd w:val="clear" w:color="auto" w:fill="auto"/>
            <w:vAlign w:val="center"/>
          </w:tcPr>
          <w:p w14:paraId="31793A2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eastAsia="zh-CN"/>
              </w:rPr>
              <w:t>交安检测技术负责人</w:t>
            </w:r>
          </w:p>
        </w:tc>
        <w:tc>
          <w:tcPr>
            <w:tcW w:w="737" w:type="dxa"/>
            <w:shd w:val="clear" w:color="auto" w:fill="auto"/>
            <w:vAlign w:val="center"/>
          </w:tcPr>
          <w:p w14:paraId="45A403EC">
            <w:pPr>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6676" w:type="dxa"/>
            <w:shd w:val="clear" w:color="auto" w:fill="auto"/>
            <w:vAlign w:val="center"/>
          </w:tcPr>
          <w:p w14:paraId="214FD6F0">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高级工程师；</w:t>
            </w:r>
          </w:p>
          <w:p w14:paraId="44F50388">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具有交通运输部工程质量监督局颁发的试验检测工程师资格证书，或交通运输部职业资格中心颁发的公路水运工程试验检测师资格证书；且在“公路水运工程质量检测管理信息系统（https://www.ttiis.cn）”中进行登记</w:t>
            </w:r>
            <w:r>
              <w:rPr>
                <w:rFonts w:hint="eastAsia" w:ascii="Times New Roman" w:hAnsi="Times New Roman" w:cs="Times New Roman"/>
                <w:kern w:val="0"/>
                <w:szCs w:val="21"/>
                <w:highlight w:val="none"/>
                <w:lang w:eastAsia="zh-CN"/>
              </w:rPr>
              <w:t>，</w:t>
            </w:r>
            <w:r>
              <w:rPr>
                <w:rFonts w:hint="eastAsia" w:ascii="Times New Roman" w:hAnsi="Times New Roman" w:cs="Times New Roman"/>
                <w:color w:val="auto"/>
                <w:kern w:val="0"/>
                <w:szCs w:val="21"/>
                <w:highlight w:val="none"/>
                <w:lang w:eastAsia="zh-CN"/>
              </w:rPr>
              <w:t>登记单位与投标人名称一致</w:t>
            </w:r>
            <w:r>
              <w:rPr>
                <w:rFonts w:hint="eastAsia" w:ascii="Times New Roman" w:hAnsi="Times New Roman" w:cs="Times New Roman"/>
                <w:color w:val="auto"/>
                <w:kern w:val="0"/>
                <w:szCs w:val="21"/>
                <w:highlight w:val="none"/>
                <w:lang w:val="en-US" w:eastAsia="zh-CN"/>
              </w:rPr>
              <w:t>。</w:t>
            </w:r>
          </w:p>
          <w:p w14:paraId="6D3C7481">
            <w:pPr>
              <w:snapToGrid w:val="0"/>
              <w:spacing w:line="360" w:lineRule="exact"/>
              <w:ind w:firstLine="420" w:firstLineChars="20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lang w:eastAsia="zh-CN"/>
              </w:rPr>
              <w:t>至投标截止时间</w:t>
            </w:r>
            <w:r>
              <w:rPr>
                <w:rFonts w:hint="default" w:ascii="Times New Roman" w:hAnsi="Times New Roman" w:cs="Times New Roman"/>
                <w:color w:val="auto"/>
                <w:kern w:val="0"/>
                <w:szCs w:val="21"/>
                <w:highlight w:val="none"/>
              </w:rPr>
              <w:t>，以合同签订时间为准），至少担任过1项高速公路技术状况定期检测项目（</w:t>
            </w:r>
            <w:r>
              <w:rPr>
                <w:rFonts w:hint="eastAsia" w:ascii="Times New Roman" w:hAnsi="Times New Roman" w:cs="Times New Roman"/>
                <w:color w:val="auto"/>
                <w:kern w:val="0"/>
                <w:szCs w:val="21"/>
                <w:highlight w:val="none"/>
                <w:lang w:eastAsia="zh-CN"/>
              </w:rPr>
              <w:t>含交通安全设施</w:t>
            </w:r>
            <w:r>
              <w:rPr>
                <w:rFonts w:hint="default" w:ascii="Times New Roman" w:hAnsi="Times New Roman" w:cs="Times New Roman"/>
                <w:color w:val="auto"/>
                <w:kern w:val="0"/>
                <w:szCs w:val="21"/>
                <w:highlight w:val="none"/>
              </w:rPr>
              <w:t>）的技术负责人（或项目负责人）</w:t>
            </w:r>
            <w:r>
              <w:rPr>
                <w:rFonts w:hint="eastAsia" w:ascii="Times New Roman" w:hAnsi="Times New Roman" w:cs="Times New Roman"/>
                <w:color w:val="auto"/>
                <w:kern w:val="0"/>
                <w:szCs w:val="21"/>
                <w:highlight w:val="none"/>
                <w:lang w:eastAsia="zh-CN"/>
              </w:rPr>
              <w:t>。</w:t>
            </w:r>
          </w:p>
        </w:tc>
      </w:tr>
      <w:tr w14:paraId="235E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vAlign w:val="center"/>
          </w:tcPr>
          <w:p w14:paraId="426D8712">
            <w:pPr>
              <w:jc w:val="center"/>
              <w:rPr>
                <w:rFonts w:hint="default" w:ascii="Times New Roman" w:hAnsi="Times New Roman" w:cs="Times New Roman"/>
                <w:color w:val="auto"/>
                <w:szCs w:val="21"/>
                <w:highlight w:val="none"/>
              </w:rPr>
            </w:pPr>
          </w:p>
        </w:tc>
        <w:tc>
          <w:tcPr>
            <w:tcW w:w="892" w:type="dxa"/>
            <w:vAlign w:val="center"/>
          </w:tcPr>
          <w:p w14:paraId="66845396">
            <w:pPr>
              <w:jc w:val="center"/>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路况数据处理与评定技术负责人</w:t>
            </w:r>
          </w:p>
        </w:tc>
        <w:tc>
          <w:tcPr>
            <w:tcW w:w="737" w:type="dxa"/>
            <w:vAlign w:val="center"/>
          </w:tcPr>
          <w:p w14:paraId="5C0688CC">
            <w:pPr>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w:t>
            </w:r>
          </w:p>
        </w:tc>
        <w:tc>
          <w:tcPr>
            <w:tcW w:w="6676" w:type="dxa"/>
            <w:vAlign w:val="center"/>
          </w:tcPr>
          <w:p w14:paraId="425C36C1">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高级工程师；</w:t>
            </w:r>
          </w:p>
          <w:p w14:paraId="0405748A">
            <w:pPr>
              <w:snapToGrid w:val="0"/>
              <w:spacing w:line="360" w:lineRule="exact"/>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近5年（</w:t>
            </w:r>
            <w:r>
              <w:rPr>
                <w:rFonts w:hint="eastAsia" w:ascii="Times New Roman" w:hAnsi="Times New Roman" w:cs="Times New Roman"/>
                <w:color w:val="auto"/>
                <w:kern w:val="0"/>
                <w:szCs w:val="21"/>
                <w:highlight w:val="none"/>
                <w:lang w:eastAsia="zh-CN"/>
              </w:rPr>
              <w:t>2021年7月1日</w:t>
            </w:r>
            <w:r>
              <w:rPr>
                <w:rFonts w:hint="default" w:ascii="Times New Roman" w:hAnsi="Times New Roman" w:cs="Times New Roman"/>
                <w:color w:val="auto"/>
                <w:kern w:val="0"/>
                <w:szCs w:val="21"/>
                <w:highlight w:val="none"/>
                <w:lang w:eastAsia="zh-CN"/>
              </w:rPr>
              <w:t>至投标截止时间</w:t>
            </w:r>
            <w:r>
              <w:rPr>
                <w:rFonts w:hint="default" w:ascii="Times New Roman" w:hAnsi="Times New Roman" w:cs="Times New Roman"/>
                <w:color w:val="auto"/>
                <w:kern w:val="0"/>
                <w:szCs w:val="21"/>
                <w:highlight w:val="none"/>
              </w:rPr>
              <w:t>，以合同签订时间为准），至少担任过1项高速公路技术状况定期检测项目（</w:t>
            </w:r>
            <w:r>
              <w:rPr>
                <w:rFonts w:hint="eastAsia" w:ascii="Times New Roman" w:hAnsi="Times New Roman" w:cs="Times New Roman"/>
                <w:color w:val="auto"/>
                <w:kern w:val="0"/>
                <w:szCs w:val="21"/>
                <w:highlight w:val="none"/>
                <w:lang w:eastAsia="zh-CN"/>
              </w:rPr>
              <w:t>含</w:t>
            </w:r>
            <w:r>
              <w:rPr>
                <w:rFonts w:hint="eastAsia" w:ascii="Times New Roman" w:hAnsi="Times New Roman" w:cs="Times New Roman"/>
                <w:color w:val="auto"/>
                <w:szCs w:val="21"/>
                <w:highlight w:val="none"/>
                <w:lang w:eastAsia="zh-CN"/>
              </w:rPr>
              <w:t>路况数据处理与评定</w:t>
            </w:r>
            <w:r>
              <w:rPr>
                <w:rFonts w:hint="default" w:ascii="Times New Roman" w:hAnsi="Times New Roman" w:cs="Times New Roman"/>
                <w:color w:val="auto"/>
                <w:kern w:val="0"/>
                <w:szCs w:val="21"/>
                <w:highlight w:val="none"/>
              </w:rPr>
              <w:t>）的技术负责人（或项目负责人）</w:t>
            </w:r>
            <w:r>
              <w:rPr>
                <w:rFonts w:hint="eastAsia" w:ascii="Times New Roman" w:hAnsi="Times New Roman" w:cs="Times New Roman"/>
                <w:color w:val="auto"/>
                <w:kern w:val="0"/>
                <w:szCs w:val="21"/>
                <w:highlight w:val="none"/>
                <w:lang w:eastAsia="zh-CN"/>
              </w:rPr>
              <w:t>。</w:t>
            </w:r>
          </w:p>
        </w:tc>
      </w:tr>
    </w:tbl>
    <w:p w14:paraId="2B488B5A">
      <w:pPr>
        <w:snapToGrid w:val="0"/>
        <w:spacing w:line="360" w:lineRule="exact"/>
        <w:ind w:firstLine="420" w:firstLineChars="200"/>
        <w:rPr>
          <w:rFonts w:hint="default" w:ascii="Times New Roman" w:hAnsi="Times New Roman" w:cs="Times New Roman"/>
          <w:color w:val="auto"/>
          <w:kern w:val="0"/>
          <w:szCs w:val="21"/>
          <w:highlight w:val="none"/>
          <w:lang w:val="en-US" w:eastAsia="zh-CN"/>
        </w:rPr>
      </w:pPr>
      <w:r>
        <w:rPr>
          <w:rFonts w:hint="eastAsia" w:ascii="Times New Roman" w:hAnsi="Times New Roman" w:cs="Times New Roman"/>
          <w:color w:val="auto"/>
          <w:kern w:val="0"/>
          <w:szCs w:val="21"/>
          <w:highlight w:val="none"/>
          <w:lang w:val="en-US" w:eastAsia="zh-CN"/>
        </w:rPr>
        <w:t>注：联合体各方须按联合体协议书中的分工委派相关技术负责人。</w:t>
      </w:r>
    </w:p>
    <w:p w14:paraId="55CBF744">
      <w:pPr>
        <w:ind w:firstLine="480"/>
        <w:rPr>
          <w:rFonts w:hint="default" w:ascii="Times New Roman" w:hAnsi="Times New Roman" w:cs="Times New Roman"/>
          <w:color w:val="auto"/>
          <w:sz w:val="24"/>
          <w:szCs w:val="24"/>
          <w:highlight w:val="none"/>
        </w:rPr>
      </w:pPr>
      <w:bookmarkStart w:id="9" w:name="_Toc169457200"/>
      <w:r>
        <w:rPr>
          <w:rFonts w:hint="default" w:ascii="Times New Roman" w:hAnsi="Times New Roman" w:cs="Times New Roman"/>
          <w:color w:val="auto"/>
          <w:sz w:val="24"/>
          <w:szCs w:val="24"/>
          <w:highlight w:val="none"/>
        </w:rPr>
        <w:br w:type="page"/>
      </w:r>
    </w:p>
    <w:p w14:paraId="68A7765E">
      <w:pPr>
        <w:pStyle w:val="3"/>
        <w:snapToGrid w:val="0"/>
        <w:spacing w:before="120" w:beforeLines="50" w:after="120" w:afterLines="50" w:line="240" w:lineRule="auto"/>
        <w:ind w:firstLine="482"/>
        <w:rPr>
          <w:rFonts w:hint="default" w:ascii="Times New Roman" w:hAnsi="Times New Roman" w:cs="Times New Roman"/>
          <w:color w:val="auto"/>
          <w:sz w:val="24"/>
          <w:szCs w:val="24"/>
          <w:highlight w:val="none"/>
        </w:rPr>
      </w:pPr>
      <w:bookmarkStart w:id="10" w:name="_Toc7656"/>
      <w:bookmarkStart w:id="11" w:name="_Toc23366"/>
      <w:bookmarkStart w:id="12" w:name="_Toc31157"/>
      <w:r>
        <w:rPr>
          <w:rFonts w:hint="default" w:ascii="Times New Roman" w:hAnsi="Times New Roman" w:cs="Times New Roman"/>
          <w:color w:val="auto"/>
          <w:sz w:val="24"/>
          <w:szCs w:val="24"/>
          <w:highlight w:val="none"/>
        </w:rPr>
        <w:t>附件2：</w:t>
      </w:r>
      <w:bookmarkEnd w:id="6"/>
      <w:bookmarkEnd w:id="7"/>
      <w:bookmarkEnd w:id="8"/>
      <w:bookmarkEnd w:id="9"/>
      <w:bookmarkEnd w:id="10"/>
      <w:bookmarkStart w:id="13" w:name="_Toc66337244"/>
      <w:bookmarkStart w:id="14" w:name="_Toc169457201"/>
      <w:bookmarkStart w:id="15" w:name="_Toc66984522"/>
      <w:bookmarkStart w:id="16" w:name="_Toc141783238"/>
      <w:bookmarkStart w:id="17" w:name="_Toc138793770"/>
      <w:bookmarkStart w:id="18" w:name="_Toc65820978"/>
      <w:bookmarkStart w:id="19" w:name="_Toc146320979"/>
      <w:bookmarkStart w:id="20" w:name="_Toc146029312"/>
      <w:bookmarkStart w:id="21" w:name="_Toc65857110"/>
      <w:bookmarkStart w:id="22" w:name="_Toc30781"/>
      <w:r>
        <w:rPr>
          <w:rFonts w:hint="default" w:ascii="Times New Roman" w:hAnsi="Times New Roman" w:cs="Times New Roman"/>
          <w:color w:val="auto"/>
          <w:sz w:val="24"/>
          <w:szCs w:val="24"/>
          <w:highlight w:val="none"/>
        </w:rPr>
        <w:t>评标办法前附表</w:t>
      </w:r>
      <w:bookmarkEnd w:id="4"/>
      <w:bookmarkEnd w:id="5"/>
      <w:bookmarkEnd w:id="11"/>
      <w:bookmarkEnd w:id="12"/>
      <w:bookmarkEnd w:id="13"/>
      <w:bookmarkEnd w:id="14"/>
      <w:bookmarkEnd w:id="15"/>
      <w:bookmarkEnd w:id="16"/>
      <w:bookmarkEnd w:id="17"/>
      <w:bookmarkEnd w:id="18"/>
      <w:bookmarkEnd w:id="19"/>
      <w:bookmarkEnd w:id="20"/>
      <w:bookmarkEnd w:id="21"/>
      <w:bookmarkEnd w:id="22"/>
      <w:bookmarkStart w:id="23" w:name="_Hlk71130285"/>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998"/>
        <w:gridCol w:w="6775"/>
      </w:tblGrid>
      <w:tr w14:paraId="1FD3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18" w:type="pct"/>
            <w:gridSpan w:val="2"/>
            <w:vAlign w:val="center"/>
          </w:tcPr>
          <w:p w14:paraId="37DB7BF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条款号</w:t>
            </w:r>
          </w:p>
        </w:tc>
        <w:tc>
          <w:tcPr>
            <w:tcW w:w="3981" w:type="pct"/>
            <w:vAlign w:val="center"/>
          </w:tcPr>
          <w:p w14:paraId="3CA72DF9">
            <w:pPr>
              <w:ind w:firstLine="4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评审因素与评审标准</w:t>
            </w:r>
          </w:p>
        </w:tc>
      </w:tr>
      <w:tr w14:paraId="0B2A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33D2150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589" w:type="pct"/>
            <w:vAlign w:val="center"/>
          </w:tcPr>
          <w:p w14:paraId="5D39931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评标方法</w:t>
            </w:r>
          </w:p>
        </w:tc>
        <w:tc>
          <w:tcPr>
            <w:tcW w:w="3981" w:type="pct"/>
            <w:vAlign w:val="center"/>
          </w:tcPr>
          <w:p w14:paraId="6678BBFD">
            <w:pPr>
              <w:ind w:firstLine="315" w:firstLineChars="15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3D8DBF5">
            <w:pPr>
              <w:ind w:firstLine="315" w:firstLineChars="15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（1）评标价低的投标人优先；</w:t>
            </w:r>
          </w:p>
          <w:p w14:paraId="2C4B41F8">
            <w:pPr>
              <w:ind w:firstLine="315" w:firstLineChars="15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（2）技术建议书得分较高的投标人优先；</w:t>
            </w:r>
          </w:p>
          <w:p w14:paraId="4D3D8107">
            <w:pPr>
              <w:ind w:firstLine="315" w:firstLineChars="150"/>
              <w:jc w:val="left"/>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（3）投标文件中满足附录2资格审查条件（业绩最低要求）的业绩</w:t>
            </w:r>
            <w:r>
              <w:rPr>
                <w:rFonts w:hint="default" w:ascii="Times New Roman" w:hAnsi="Times New Roman" w:cs="Times New Roman"/>
                <w:color w:val="auto"/>
                <w:highlight w:val="none"/>
                <w:lang w:eastAsia="zh-CN"/>
              </w:rPr>
              <w:t>中</w:t>
            </w:r>
            <w:r>
              <w:rPr>
                <w:rFonts w:hint="eastAsia" w:ascii="Times New Roman" w:hAnsi="Times New Roman" w:cs="Times New Roman"/>
                <w:color w:val="auto"/>
                <w:highlight w:val="none"/>
                <w:lang w:eastAsia="zh-CN"/>
              </w:rPr>
              <w:t>单个</w:t>
            </w:r>
            <w:r>
              <w:rPr>
                <w:rFonts w:hint="default" w:ascii="Times New Roman" w:hAnsi="Times New Roman" w:cs="Times New Roman"/>
                <w:color w:val="auto"/>
                <w:highlight w:val="none"/>
                <w:lang w:val="en-US" w:eastAsia="zh-CN"/>
              </w:rPr>
              <w:t>合同</w:t>
            </w:r>
            <w:r>
              <w:rPr>
                <w:rFonts w:hint="default" w:ascii="Times New Roman" w:hAnsi="Times New Roman" w:cs="Times New Roman"/>
                <w:color w:val="auto"/>
                <w:highlight w:val="none"/>
              </w:rPr>
              <w:t>金额</w:t>
            </w:r>
            <w:r>
              <w:rPr>
                <w:rFonts w:hint="eastAsia" w:ascii="Times New Roman" w:hAnsi="Times New Roman" w:cs="Times New Roman"/>
                <w:color w:val="auto"/>
                <w:highlight w:val="none"/>
                <w:lang w:eastAsia="zh-CN"/>
              </w:rPr>
              <w:t>较</w:t>
            </w:r>
            <w:r>
              <w:rPr>
                <w:rFonts w:hint="default" w:ascii="Times New Roman" w:hAnsi="Times New Roman" w:cs="Times New Roman"/>
                <w:color w:val="auto"/>
                <w:highlight w:val="none"/>
              </w:rPr>
              <w:t>高的优先。</w:t>
            </w:r>
          </w:p>
        </w:tc>
      </w:tr>
      <w:tr w14:paraId="7A00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25" w:type="pct"/>
            <w:vAlign w:val="center"/>
          </w:tcPr>
          <w:p w14:paraId="2B579EF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2.1.1</w:t>
            </w:r>
          </w:p>
          <w:p w14:paraId="5CACCEF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2.1.3</w:t>
            </w:r>
          </w:p>
        </w:tc>
        <w:tc>
          <w:tcPr>
            <w:tcW w:w="589" w:type="pct"/>
            <w:vAlign w:val="center"/>
          </w:tcPr>
          <w:p w14:paraId="6BB9AE8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形式评审与响应性评审标准</w:t>
            </w:r>
          </w:p>
        </w:tc>
        <w:tc>
          <w:tcPr>
            <w:tcW w:w="3981" w:type="pct"/>
          </w:tcPr>
          <w:p w14:paraId="77C108C2">
            <w:pPr>
              <w:tabs>
                <w:tab w:val="left" w:pos="3060"/>
              </w:tabs>
              <w:spacing w:line="320" w:lineRule="exact"/>
              <w:ind w:firstLine="422"/>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第一个信封（商务文件）评审标准：</w:t>
            </w:r>
          </w:p>
          <w:p w14:paraId="7718263A">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（1）投标文件按照招标文件规定的格式、内容填写，字迹清晰可辨：</w:t>
            </w:r>
          </w:p>
          <w:p w14:paraId="31C33C04">
            <w:pPr>
              <w:tabs>
                <w:tab w:val="left" w:pos="3060"/>
              </w:tabs>
              <w:spacing w:line="32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a．投标函按招标文件规定填报了招标人名称、项目名称、补遗书编号（如有）、项目负责人和技术负责人相关信息、质量要求、安全目标、服务期限等内容；</w:t>
            </w:r>
          </w:p>
          <w:p w14:paraId="51A94B17">
            <w:pPr>
              <w:tabs>
                <w:tab w:val="left" w:pos="3060"/>
              </w:tabs>
              <w:spacing w:line="32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b．投标文件组成齐全完整，内容均按规定填写。</w:t>
            </w:r>
          </w:p>
          <w:p w14:paraId="1A3DD39C">
            <w:pPr>
              <w:tabs>
                <w:tab w:val="left" w:pos="3060"/>
              </w:tabs>
              <w:spacing w:line="320" w:lineRule="exact"/>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（2）投标文件上法定代表人或其授权代理人的签字、投标人的单位章盖章齐全，符合招标文件规定。</w:t>
            </w:r>
          </w:p>
          <w:p w14:paraId="0D8016B9">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（3）投标人按照招标文件的规定提供了投标保证金，满足招标文件投标人须知前附表第3.4.1项</w:t>
            </w:r>
            <w:r>
              <w:rPr>
                <w:rFonts w:hint="eastAsia" w:ascii="Times New Roman" w:hAnsi="Times New Roman" w:cs="Times New Roman"/>
                <w:color w:val="auto"/>
                <w:szCs w:val="21"/>
                <w:highlight w:val="none"/>
                <w:lang w:val="en-US" w:eastAsia="zh-CN"/>
              </w:rPr>
              <w:t>的要求</w:t>
            </w:r>
            <w:r>
              <w:rPr>
                <w:rFonts w:hint="default" w:ascii="Times New Roman" w:hAnsi="Times New Roman" w:cs="Times New Roman"/>
                <w:color w:val="auto"/>
                <w:szCs w:val="21"/>
                <w:highlight w:val="none"/>
              </w:rPr>
              <w:t>。</w:t>
            </w:r>
          </w:p>
          <w:p w14:paraId="118329F9">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（4）投标人法定代表人授权委托代理人签署投标文件的，须提交授权委托书，授权委托书符合招标文件规定。</w:t>
            </w:r>
          </w:p>
          <w:p w14:paraId="0A034770">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（5）投标人法定代表人亲自签署投标文件的，提供了法定代表人身份证明，法定代表人身份证明符合招标文件规定。</w:t>
            </w:r>
          </w:p>
          <w:p w14:paraId="1974FD82">
            <w:pPr>
              <w:tabs>
                <w:tab w:val="left" w:pos="3060"/>
              </w:tabs>
              <w:spacing w:line="320" w:lineRule="exact"/>
              <w:ind w:firstLine="210" w:firstLineChars="100"/>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（6）投标人以联合体形式投标时，联合体满足招标文件</w:t>
            </w:r>
            <w:r>
              <w:rPr>
                <w:rFonts w:hint="eastAsia" w:ascii="Times New Roman" w:hAnsi="Times New Roman" w:cs="Times New Roman"/>
                <w:color w:val="auto"/>
                <w:szCs w:val="21"/>
                <w:highlight w:val="none"/>
                <w:lang w:val="en-US" w:eastAsia="zh-CN"/>
              </w:rPr>
              <w:t>要求</w:t>
            </w:r>
            <w:r>
              <w:rPr>
                <w:rFonts w:hint="eastAsia" w:ascii="宋体" w:hAnsi="宋体" w:cs="宋体"/>
                <w:color w:val="auto"/>
                <w:szCs w:val="21"/>
                <w:highlight w:val="none"/>
              </w:rPr>
              <w:t>。</w:t>
            </w:r>
          </w:p>
          <w:p w14:paraId="60A6BFCD">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（7）投标人未对本项目提出分包计划。</w:t>
            </w:r>
          </w:p>
          <w:p w14:paraId="1D7257C0">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（8）投标人未提交两个及以上不同的投标文件或备选方案。</w:t>
            </w:r>
          </w:p>
          <w:p w14:paraId="3BDCB7B6">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（9）投标文件中未出现有关投标报价的内容。</w:t>
            </w:r>
          </w:p>
          <w:p w14:paraId="329AEF3B">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（10）投标文件载明的招标项目完成期限未超过招标文件规定的时限。</w:t>
            </w:r>
          </w:p>
          <w:p w14:paraId="0C38DA15">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（11）投标文件对招标文件的实质性要求和条件作出响应。</w:t>
            </w:r>
          </w:p>
          <w:p w14:paraId="501E398B">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（12）权利义务符合招标文件规定：</w:t>
            </w:r>
          </w:p>
          <w:p w14:paraId="7D5B27BE">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a.投标人应接受招标文件规定的风险划分原则，未提出新的风险划分办法；</w:t>
            </w:r>
          </w:p>
          <w:p w14:paraId="2569E188">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b.投标人未增加发包人的责任范围，或减少投标人义务；</w:t>
            </w:r>
          </w:p>
          <w:p w14:paraId="0A220F00">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c.投标人未提出不同的支付办法；</w:t>
            </w:r>
          </w:p>
          <w:p w14:paraId="3AE31DFF">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d.投标人对合同纠纷、事故处理办法未提出异议；</w:t>
            </w:r>
          </w:p>
          <w:p w14:paraId="0C1357CB">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e.投标人在投标活动中无欺诈行为；</w:t>
            </w:r>
          </w:p>
          <w:p w14:paraId="70AE3CC0">
            <w:pPr>
              <w:tabs>
                <w:tab w:val="left" w:pos="3060"/>
              </w:tabs>
              <w:spacing w:line="320" w:lineRule="exact"/>
              <w:ind w:firstLine="210" w:firstLineChars="100"/>
              <w:rPr>
                <w:rFonts w:hint="default" w:ascii="Times New Roman" w:hAnsi="Times New Roman" w:cs="Times New Roman"/>
                <w:color w:val="auto"/>
                <w:sz w:val="21"/>
                <w:szCs w:val="21"/>
                <w:highlight w:val="none"/>
              </w:rPr>
            </w:pPr>
            <w:r>
              <w:rPr>
                <w:rFonts w:hint="default" w:ascii="Times New Roman" w:hAnsi="Times New Roman" w:cs="Times New Roman"/>
                <w:color w:val="auto"/>
                <w:szCs w:val="21"/>
                <w:highlight w:val="none"/>
              </w:rPr>
              <w:t>f.投</w:t>
            </w:r>
            <w:r>
              <w:rPr>
                <w:rFonts w:hint="default" w:ascii="Times New Roman" w:hAnsi="Times New Roman" w:cs="Times New Roman"/>
                <w:color w:val="auto"/>
                <w:sz w:val="21"/>
                <w:szCs w:val="21"/>
                <w:highlight w:val="none"/>
              </w:rPr>
              <w:t>标人未对合同条款有重要保留。</w:t>
            </w:r>
          </w:p>
          <w:p w14:paraId="49A731F3">
            <w:pPr>
              <w:tabs>
                <w:tab w:val="left" w:pos="3060"/>
              </w:tabs>
              <w:spacing w:line="320" w:lineRule="exact"/>
              <w:ind w:firstLine="211" w:firstLineChars="100"/>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第一个信封（技术文件）评审标准：</w:t>
            </w:r>
          </w:p>
          <w:p w14:paraId="665D3CA3">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（1）技术建议书（暗标）的编制符合招标文件第二章“投标人须知”第10.2款的规定。</w:t>
            </w:r>
          </w:p>
          <w:p w14:paraId="29F22A43">
            <w:pPr>
              <w:tabs>
                <w:tab w:val="left" w:pos="3060"/>
              </w:tabs>
              <w:spacing w:line="320" w:lineRule="exact"/>
              <w:ind w:firstLine="211" w:firstLineChars="1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第二个信封（报价文件）评审标准：</w:t>
            </w:r>
          </w:p>
          <w:p w14:paraId="7041381C">
            <w:pPr>
              <w:tabs>
                <w:tab w:val="left" w:pos="3060"/>
              </w:tabs>
              <w:spacing w:line="320" w:lineRule="exact"/>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（1）投标文件按照招标文件规定的格式、内容填写，字迹清晰可辨：</w:t>
            </w:r>
          </w:p>
          <w:p w14:paraId="1FD86342">
            <w:pPr>
              <w:tabs>
                <w:tab w:val="left" w:pos="3060"/>
              </w:tabs>
              <w:spacing w:line="32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a．投标函按招标文件规定填报了招标人名称、项目名称、补遗书编号（如有）、投标报价（包括大写金额和小写金额）；</w:t>
            </w:r>
          </w:p>
          <w:p w14:paraId="1664E9E9">
            <w:pPr>
              <w:tabs>
                <w:tab w:val="left" w:pos="3060"/>
              </w:tabs>
              <w:spacing w:line="32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b．投标文件组成齐全完整，内容均按规定填写。</w:t>
            </w:r>
          </w:p>
          <w:p w14:paraId="2978E244">
            <w:pPr>
              <w:tabs>
                <w:tab w:val="left" w:pos="3060"/>
              </w:tabs>
              <w:spacing w:line="320" w:lineRule="exact"/>
              <w:ind w:firstLine="205" w:firstLineChars="98"/>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（2）投标文件上法定代表人或其授权代理人的签字、投标人的单位章盖章齐全，符合招标文件规定。</w:t>
            </w:r>
          </w:p>
          <w:p w14:paraId="59AC0580">
            <w:pPr>
              <w:tabs>
                <w:tab w:val="left" w:pos="3060"/>
              </w:tabs>
              <w:spacing w:line="320" w:lineRule="exact"/>
              <w:ind w:firstLine="205" w:firstLineChars="98"/>
              <w:rPr>
                <w:rFonts w:hint="eastAsia" w:ascii="Times New Roman" w:hAnsi="Times New Roman" w:eastAsia="宋体" w:cs="Times New Roman"/>
                <w:bCs/>
                <w:color w:val="0000FF"/>
                <w:szCs w:val="21"/>
                <w:highlight w:val="none"/>
                <w:lang w:eastAsia="zh-CN"/>
              </w:rPr>
            </w:pPr>
            <w:r>
              <w:rPr>
                <w:rFonts w:hint="default" w:ascii="Times New Roman" w:hAnsi="Times New Roman" w:cs="Times New Roman"/>
                <w:bCs/>
                <w:color w:val="auto"/>
                <w:szCs w:val="21"/>
                <w:highlight w:val="none"/>
              </w:rPr>
              <w:t>（3）投标报价及各分项报价均未超过招标文件设定的最高投标限价</w:t>
            </w:r>
            <w:r>
              <w:rPr>
                <w:rFonts w:hint="eastAsia" w:ascii="Times New Roman" w:hAnsi="Times New Roman" w:cs="Times New Roman"/>
                <w:bCs/>
                <w:color w:val="auto"/>
                <w:szCs w:val="21"/>
                <w:highlight w:val="none"/>
                <w:lang w:val="en-US" w:eastAsia="zh-CN"/>
              </w:rPr>
              <w:t>及分项最高限价</w:t>
            </w:r>
            <w:r>
              <w:rPr>
                <w:rFonts w:hint="default" w:ascii="Times New Roman" w:hAnsi="Times New Roman" w:cs="Times New Roman"/>
                <w:bCs/>
                <w:color w:val="auto"/>
                <w:szCs w:val="21"/>
                <w:highlight w:val="none"/>
              </w:rPr>
              <w:t>。</w:t>
            </w:r>
          </w:p>
          <w:p w14:paraId="2FA52C24">
            <w:pPr>
              <w:tabs>
                <w:tab w:val="left" w:pos="3060"/>
              </w:tabs>
              <w:spacing w:line="320" w:lineRule="exact"/>
              <w:ind w:firstLine="205" w:firstLineChars="98"/>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（4）投标报价中报价的大写金额能够确定具体数值。</w:t>
            </w:r>
          </w:p>
          <w:p w14:paraId="11852341">
            <w:pPr>
              <w:tabs>
                <w:tab w:val="left" w:pos="3060"/>
              </w:tabs>
              <w:spacing w:line="320" w:lineRule="exact"/>
              <w:ind w:firstLine="205" w:firstLineChars="98"/>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（5）投标人未提交两个及以上不同的投标报价。</w:t>
            </w:r>
          </w:p>
          <w:p w14:paraId="3EDC8492">
            <w:pPr>
              <w:tabs>
                <w:tab w:val="left" w:pos="3060"/>
              </w:tabs>
              <w:spacing w:line="320" w:lineRule="exact"/>
              <w:ind w:firstLine="205" w:firstLineChars="98"/>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（6）检测服务费用清单中的投标报价和投标函中的大写金额报价一致。</w:t>
            </w:r>
          </w:p>
        </w:tc>
      </w:tr>
      <w:tr w14:paraId="06C5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trPr>
        <w:tc>
          <w:tcPr>
            <w:tcW w:w="425" w:type="pct"/>
            <w:vAlign w:val="center"/>
          </w:tcPr>
          <w:p w14:paraId="6B52D80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2.1.2</w:t>
            </w:r>
          </w:p>
        </w:tc>
        <w:tc>
          <w:tcPr>
            <w:tcW w:w="589" w:type="pct"/>
            <w:vAlign w:val="center"/>
          </w:tcPr>
          <w:p w14:paraId="52EAC0B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资格评审标准</w:t>
            </w:r>
          </w:p>
        </w:tc>
        <w:tc>
          <w:tcPr>
            <w:tcW w:w="3981" w:type="pct"/>
          </w:tcPr>
          <w:p w14:paraId="14DEF070">
            <w:pPr>
              <w:tabs>
                <w:tab w:val="left" w:pos="3060"/>
              </w:tabs>
              <w:spacing w:line="320" w:lineRule="exact"/>
              <w:ind w:firstLine="105" w:firstLineChars="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（1）投标人具备有效的营业执照或事业单位法人证书、资质证书、基本账户开户许可证或基本存款账户信息；</w:t>
            </w:r>
          </w:p>
          <w:p w14:paraId="14703528">
            <w:pPr>
              <w:tabs>
                <w:tab w:val="left" w:pos="3060"/>
              </w:tabs>
              <w:spacing w:line="320" w:lineRule="exact"/>
              <w:ind w:firstLine="105" w:firstLineChars="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（2）投标人的资质等级符合招标文件规定；</w:t>
            </w:r>
          </w:p>
          <w:p w14:paraId="5CA457EC">
            <w:pPr>
              <w:tabs>
                <w:tab w:val="left" w:pos="3060"/>
              </w:tabs>
              <w:spacing w:line="320" w:lineRule="exact"/>
              <w:ind w:firstLine="105" w:firstLineChars="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（3）投标人的类似项目业绩符合招标文件规定；</w:t>
            </w:r>
          </w:p>
          <w:p w14:paraId="4E6E8A22">
            <w:pPr>
              <w:tabs>
                <w:tab w:val="left" w:pos="3060"/>
              </w:tabs>
              <w:spacing w:line="320" w:lineRule="exact"/>
              <w:ind w:firstLine="105" w:firstLineChars="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（4）投标人的信誉符合招标文件规定；</w:t>
            </w:r>
          </w:p>
          <w:p w14:paraId="2339591D">
            <w:pPr>
              <w:tabs>
                <w:tab w:val="left" w:pos="3060"/>
              </w:tabs>
              <w:spacing w:line="320" w:lineRule="exact"/>
              <w:ind w:firstLine="105" w:firstLineChars="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（5）投标人的项目负责人、技术负责人资格符合招标文件规定；</w:t>
            </w:r>
          </w:p>
          <w:p w14:paraId="7ADAF7BB">
            <w:pPr>
              <w:tabs>
                <w:tab w:val="left" w:pos="3060"/>
              </w:tabs>
              <w:spacing w:line="320" w:lineRule="exact"/>
              <w:ind w:firstLine="105" w:firstLineChars="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（6）投标人不存在第二章“投标人须知”第1.4.3项或第1.4.4项规定的任何一种情形；</w:t>
            </w:r>
          </w:p>
          <w:p w14:paraId="2B3463A9">
            <w:pPr>
              <w:tabs>
                <w:tab w:val="left" w:pos="3060"/>
              </w:tabs>
              <w:spacing w:line="320" w:lineRule="exact"/>
              <w:ind w:firstLine="105" w:firstLineChars="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（7）投标人符合第二章“投标人须知”第1.4.5项规定。</w:t>
            </w:r>
          </w:p>
          <w:p w14:paraId="47F03673">
            <w:pPr>
              <w:tabs>
                <w:tab w:val="left" w:pos="3060"/>
              </w:tabs>
              <w:spacing w:line="320" w:lineRule="exact"/>
              <w:ind w:firstLine="105" w:firstLineChars="50"/>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（8）以联合体形式投标的，</w:t>
            </w:r>
            <w:r>
              <w:rPr>
                <w:rFonts w:hint="eastAsia" w:ascii="宋体" w:hAnsi="宋体" w:cs="宋体"/>
                <w:bCs/>
                <w:szCs w:val="21"/>
                <w:highlight w:val="none"/>
              </w:rPr>
              <w:t>以联合体形式参与投标的，联合体各方均未再以自己名义单独或参加其他联合体在本项目的投标；独立参与投标的，投标人未同时参加联合体在本项目的投标。</w:t>
            </w:r>
          </w:p>
        </w:tc>
      </w:tr>
      <w:tr w14:paraId="4050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1FF5A9C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2.2.1</w:t>
            </w:r>
          </w:p>
        </w:tc>
        <w:tc>
          <w:tcPr>
            <w:tcW w:w="589" w:type="pct"/>
            <w:vAlign w:val="center"/>
          </w:tcPr>
          <w:p w14:paraId="5BB07AD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分值构成（总分100分）</w:t>
            </w:r>
          </w:p>
        </w:tc>
        <w:tc>
          <w:tcPr>
            <w:tcW w:w="3981" w:type="pct"/>
            <w:vAlign w:val="center"/>
          </w:tcPr>
          <w:p w14:paraId="4D742B28">
            <w:pPr>
              <w:ind w:firstLine="422"/>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rPr>
              <w:t>第一个信封（商务及技术文件）评分分值构成：</w:t>
            </w:r>
          </w:p>
          <w:p w14:paraId="08AFA735">
            <w:pPr>
              <w:ind w:firstLine="422"/>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rPr>
              <w:t>技术建议书（暗标）：</w:t>
            </w:r>
            <w:r>
              <w:rPr>
                <w:rFonts w:hint="default" w:ascii="Times New Roman" w:hAnsi="Times New Roman" w:cs="Times New Roman"/>
                <w:b/>
                <w:color w:val="auto"/>
                <w:highlight w:val="none"/>
                <w:u w:val="single"/>
              </w:rPr>
              <w:t>50</w:t>
            </w:r>
            <w:r>
              <w:rPr>
                <w:rFonts w:hint="default" w:ascii="Times New Roman" w:hAnsi="Times New Roman" w:cs="Times New Roman"/>
                <w:b/>
                <w:color w:val="auto"/>
                <w:highlight w:val="none"/>
              </w:rPr>
              <w:t>分</w:t>
            </w:r>
          </w:p>
          <w:p w14:paraId="50FB0214">
            <w:pPr>
              <w:ind w:firstLine="422"/>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rPr>
              <w:t>主要人员：</w:t>
            </w:r>
            <w:r>
              <w:rPr>
                <w:rFonts w:hint="default" w:ascii="Times New Roman" w:hAnsi="Times New Roman" w:cs="Times New Roman"/>
                <w:b/>
                <w:color w:val="auto"/>
                <w:highlight w:val="none"/>
                <w:u w:val="single"/>
              </w:rPr>
              <w:t>20</w:t>
            </w:r>
            <w:r>
              <w:rPr>
                <w:rFonts w:hint="default" w:ascii="Times New Roman" w:hAnsi="Times New Roman" w:cs="Times New Roman"/>
                <w:b/>
                <w:color w:val="auto"/>
                <w:highlight w:val="none"/>
              </w:rPr>
              <w:t>分</w:t>
            </w:r>
          </w:p>
          <w:p w14:paraId="78DCA76A">
            <w:pPr>
              <w:ind w:firstLine="422"/>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rPr>
              <w:t>其他因素：</w:t>
            </w:r>
            <w:r>
              <w:rPr>
                <w:rFonts w:hint="default" w:ascii="Times New Roman" w:hAnsi="Times New Roman" w:cs="Times New Roman"/>
                <w:b/>
                <w:color w:val="auto"/>
                <w:highlight w:val="none"/>
                <w:u w:val="single"/>
              </w:rPr>
              <w:t>20</w:t>
            </w:r>
            <w:r>
              <w:rPr>
                <w:rFonts w:hint="default" w:ascii="Times New Roman" w:hAnsi="Times New Roman" w:cs="Times New Roman"/>
                <w:b/>
                <w:color w:val="auto"/>
                <w:highlight w:val="none"/>
              </w:rPr>
              <w:t>分</w:t>
            </w:r>
          </w:p>
          <w:p w14:paraId="06DF6A79">
            <w:pPr>
              <w:ind w:firstLine="422"/>
              <w:jc w:val="left"/>
              <w:rPr>
                <w:rFonts w:hint="default" w:ascii="Times New Roman" w:hAnsi="Times New Roman" w:cs="Times New Roman"/>
                <w:b/>
                <w:color w:val="auto"/>
                <w:highlight w:val="none"/>
              </w:rPr>
            </w:pPr>
          </w:p>
          <w:p w14:paraId="4530C6DD">
            <w:pPr>
              <w:ind w:firstLine="422"/>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rPr>
              <w:t>第二个信封（报价文件）评分分值构成：</w:t>
            </w:r>
          </w:p>
          <w:p w14:paraId="73851FEF">
            <w:pPr>
              <w:ind w:firstLine="422"/>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rPr>
              <w:t>评标价：</w:t>
            </w:r>
            <w:r>
              <w:rPr>
                <w:rFonts w:hint="default" w:ascii="Times New Roman" w:hAnsi="Times New Roman" w:cs="Times New Roman"/>
                <w:b/>
                <w:color w:val="auto"/>
                <w:highlight w:val="none"/>
                <w:u w:val="single"/>
              </w:rPr>
              <w:t>10</w:t>
            </w:r>
            <w:r>
              <w:rPr>
                <w:rFonts w:hint="default" w:ascii="Times New Roman" w:hAnsi="Times New Roman" w:cs="Times New Roman"/>
                <w:b/>
                <w:color w:val="auto"/>
                <w:highlight w:val="none"/>
              </w:rPr>
              <w:t>分</w:t>
            </w:r>
          </w:p>
        </w:tc>
      </w:tr>
      <w:tr w14:paraId="4D3D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4F1D1AC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2.2.2</w:t>
            </w:r>
          </w:p>
        </w:tc>
        <w:tc>
          <w:tcPr>
            <w:tcW w:w="589" w:type="pct"/>
            <w:vAlign w:val="center"/>
          </w:tcPr>
          <w:p w14:paraId="13B57F8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评标基准价计算方法</w:t>
            </w:r>
          </w:p>
        </w:tc>
        <w:tc>
          <w:tcPr>
            <w:tcW w:w="3981" w:type="pct"/>
            <w:vAlign w:val="center"/>
          </w:tcPr>
          <w:p w14:paraId="5C8AF9EF">
            <w:pPr>
              <w:snapToGrid w:val="0"/>
              <w:spacing w:line="320" w:lineRule="exact"/>
              <w:ind w:firstLine="422"/>
              <w:jc w:val="left"/>
              <w:rPr>
                <w:rFonts w:hint="default" w:ascii="Times New Roman" w:hAnsi="Times New Roman" w:cs="Times New Roman"/>
                <w:b/>
                <w:color w:val="auto"/>
                <w:highlight w:val="none"/>
              </w:rPr>
            </w:pPr>
            <w:r>
              <w:rPr>
                <w:rFonts w:hint="default" w:ascii="Times New Roman" w:hAnsi="Times New Roman" w:cs="Times New Roman"/>
                <w:b/>
                <w:color w:val="auto"/>
                <w:highlight w:val="none"/>
              </w:rPr>
              <w:t>评标基准价的计算：</w:t>
            </w:r>
          </w:p>
          <w:p w14:paraId="070A40A3">
            <w:pPr>
              <w:snapToGrid w:val="0"/>
              <w:spacing w:line="320" w:lineRule="exact"/>
              <w:ind w:right="-107" w:firstLine="42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在开标现场，招标人将当场计算并宣布评标基准价。</w:t>
            </w:r>
          </w:p>
          <w:p w14:paraId="4E77A817">
            <w:pPr>
              <w:snapToGrid w:val="0"/>
              <w:spacing w:line="320" w:lineRule="exact"/>
              <w:ind w:left="113" w:right="-107"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（1）评标价的确定：</w:t>
            </w:r>
          </w:p>
          <w:p w14:paraId="07763072">
            <w:pPr>
              <w:snapToGrid w:val="0"/>
              <w:spacing w:line="320" w:lineRule="exact"/>
              <w:ind w:left="113" w:right="-107"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评标价=投标函文字报价</w:t>
            </w:r>
          </w:p>
          <w:p w14:paraId="37B92147">
            <w:pPr>
              <w:snapToGrid w:val="0"/>
              <w:spacing w:line="320" w:lineRule="exact"/>
              <w:ind w:left="113" w:right="-107"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（2）评标价平均值的计算：</w:t>
            </w:r>
          </w:p>
          <w:p w14:paraId="32594FEB">
            <w:pPr>
              <w:snapToGrid w:val="0"/>
              <w:spacing w:line="320" w:lineRule="exact"/>
              <w:ind w:right="-107" w:firstLine="426" w:firstLineChars="203"/>
              <w:rPr>
                <w:rFonts w:hint="default" w:ascii="Times New Roman" w:hAnsi="Times New Roman" w:cs="Times New Roman"/>
                <w:color w:val="auto"/>
                <w:szCs w:val="21"/>
                <w:highlight w:val="none"/>
              </w:rPr>
            </w:pPr>
            <w:r>
              <w:rPr>
                <w:rFonts w:hint="eastAsia" w:ascii="宋体" w:hAnsi="宋体" w:cs="宋体"/>
                <w:color w:val="auto"/>
                <w:highlight w:val="none"/>
              </w:rPr>
              <w:t>除按第二章“投标人须知”第5.2.4项规定开标现场被宣布为不进入评标基准价计算的投标报价之外，所有投标人的评标价去掉一个最高值和一个最低值后作算术平均</w:t>
            </w:r>
            <w:r>
              <w:rPr>
                <w:rFonts w:hint="eastAsia" w:ascii="宋体" w:hAnsi="宋体" w:cs="宋体"/>
                <w:color w:val="auto"/>
                <w:highlight w:val="none"/>
                <w:lang w:eastAsia="zh-CN"/>
              </w:rPr>
              <w:t>值</w:t>
            </w:r>
            <w:r>
              <w:rPr>
                <w:rFonts w:hint="eastAsia" w:ascii="宋体" w:hAnsi="宋体" w:cs="宋体"/>
                <w:color w:val="auto"/>
                <w:highlight w:val="none"/>
              </w:rPr>
              <w:t>（如果参与评标价平均值计算的有效投标人少于5家时，则计算评标价平均值时不去掉最高值和最低值），将该平均值作为评标价平均值</w:t>
            </w:r>
            <w:r>
              <w:rPr>
                <w:rFonts w:hint="default" w:ascii="Times New Roman" w:hAnsi="Times New Roman" w:cs="Times New Roman"/>
                <w:color w:val="auto"/>
                <w:szCs w:val="21"/>
                <w:highlight w:val="none"/>
              </w:rPr>
              <w:t>。</w:t>
            </w:r>
          </w:p>
          <w:p w14:paraId="468D33CB">
            <w:pPr>
              <w:snapToGrid w:val="0"/>
              <w:spacing w:line="320" w:lineRule="exact"/>
              <w:ind w:right="-107" w:firstLine="426" w:firstLineChars="203"/>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（3）评标基准价的确定：</w:t>
            </w:r>
          </w:p>
          <w:p w14:paraId="08C0EC5D">
            <w:pPr>
              <w:snapToGrid w:val="0"/>
              <w:spacing w:line="320" w:lineRule="exact"/>
              <w:ind w:right="-107" w:firstLine="426" w:firstLineChars="203"/>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将评标价平均值直接作为评标基准价（评标基准价保留小数点后两位，小数点后第三位四舍五入）。</w:t>
            </w:r>
          </w:p>
          <w:p w14:paraId="59B24456">
            <w:pPr>
              <w:snapToGrid w:val="0"/>
              <w:spacing w:line="32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C27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25343D8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2.2.3</w:t>
            </w:r>
          </w:p>
        </w:tc>
        <w:tc>
          <w:tcPr>
            <w:tcW w:w="589" w:type="pct"/>
            <w:vAlign w:val="center"/>
          </w:tcPr>
          <w:p w14:paraId="38DCD43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评标价的偏差率计算公式</w:t>
            </w:r>
          </w:p>
        </w:tc>
        <w:tc>
          <w:tcPr>
            <w:tcW w:w="3981" w:type="pct"/>
            <w:vAlign w:val="center"/>
          </w:tcPr>
          <w:p w14:paraId="033890A6">
            <w:pPr>
              <w:ind w:firstLine="42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7A28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77953E14">
            <w:pPr>
              <w:spacing w:line="276" w:lineRule="auto"/>
              <w:ind w:right="113"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.5.</w:t>
            </w:r>
            <w:r>
              <w:rPr>
                <w:rFonts w:hint="default" w:ascii="Times New Roman" w:hAnsi="Times New Roman" w:cs="Times New Roman"/>
                <w:color w:val="auto"/>
                <w:sz w:val="21"/>
                <w:szCs w:val="21"/>
                <w:highlight w:val="none"/>
                <w:lang w:val="en-US" w:eastAsia="zh-CN"/>
              </w:rPr>
              <w:t>3</w:t>
            </w:r>
          </w:p>
        </w:tc>
        <w:tc>
          <w:tcPr>
            <w:tcW w:w="1102" w:type="dxa"/>
            <w:vAlign w:val="center"/>
          </w:tcPr>
          <w:p w14:paraId="424247E1">
            <w:pPr>
              <w:spacing w:line="276" w:lineRule="auto"/>
              <w:ind w:left="113" w:leftChars="0" w:right="113"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异常低价情形</w:t>
            </w:r>
          </w:p>
        </w:tc>
        <w:tc>
          <w:tcPr>
            <w:tcW w:w="7397" w:type="dxa"/>
            <w:vAlign w:val="center"/>
          </w:tcPr>
          <w:p w14:paraId="641DC81D">
            <w:pPr>
              <w:spacing w:line="276" w:lineRule="auto"/>
              <w:ind w:right="113"/>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本款修改为：</w:t>
            </w:r>
          </w:p>
          <w:p w14:paraId="55A2A825">
            <w:pPr>
              <w:spacing w:line="276" w:lineRule="auto"/>
              <w:ind w:right="113" w:rightChars="0"/>
              <w:rPr>
                <w:rFonts w:hint="default" w:ascii="Times New Roman" w:hAnsi="Times New Roman" w:cs="Times New Roman"/>
                <w:color w:val="auto"/>
                <w:sz w:val="21"/>
                <w:szCs w:val="21"/>
                <w:highlight w:val="none"/>
              </w:rPr>
            </w:pPr>
            <w:r>
              <w:rPr>
                <w:rFonts w:hint="eastAsia" w:ascii="宋体" w:hAnsi="宋体"/>
                <w:szCs w:val="21"/>
                <w:highlight w:val="none"/>
              </w:rPr>
              <w:t>评标委员会发现投标人的投标报价低于最高投标限价的</w:t>
            </w:r>
            <w:r>
              <w:rPr>
                <w:rFonts w:hint="eastAsia" w:ascii="宋体" w:hAnsi="宋体"/>
                <w:szCs w:val="21"/>
                <w:highlight w:val="none"/>
                <w:lang w:val="en-US" w:eastAsia="zh-CN"/>
              </w:rPr>
              <w:t>60</w:t>
            </w:r>
            <w:r>
              <w:rPr>
                <w:rFonts w:hint="eastAsia" w:ascii="宋体" w:hAnsi="宋体"/>
                <w:szCs w:val="21"/>
                <w:highlight w:val="none"/>
              </w:rPr>
              <w:t>%</w:t>
            </w:r>
            <w:r>
              <w:rPr>
                <w:rFonts w:hint="eastAsia" w:ascii="宋体" w:hAnsi="宋体"/>
                <w:szCs w:val="21"/>
                <w:highlight w:val="none"/>
                <w:lang w:eastAsia="zh-CN"/>
              </w:rPr>
              <w:t>（含）</w:t>
            </w:r>
            <w:r>
              <w:rPr>
                <w:rFonts w:hint="eastAsia" w:ascii="宋体" w:hAnsi="宋体"/>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DF7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39A5825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3.6.1</w:t>
            </w:r>
          </w:p>
        </w:tc>
        <w:tc>
          <w:tcPr>
            <w:tcW w:w="589" w:type="pct"/>
            <w:vAlign w:val="center"/>
          </w:tcPr>
          <w:p w14:paraId="2B27544B">
            <w:pPr>
              <w:adjustRightInd w:val="0"/>
              <w:snapToGrid w:val="0"/>
              <w:spacing w:line="3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信息查询</w:t>
            </w:r>
          </w:p>
        </w:tc>
        <w:tc>
          <w:tcPr>
            <w:tcW w:w="3981" w:type="pct"/>
            <w:vAlign w:val="center"/>
          </w:tcPr>
          <w:p w14:paraId="5C177AFD">
            <w:pPr>
              <w:autoSpaceDE w:val="0"/>
              <w:autoSpaceDN w:val="0"/>
              <w:spacing w:line="273" w:lineRule="auto"/>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本项修改为：</w:t>
            </w:r>
          </w:p>
          <w:p w14:paraId="11C8A5F5">
            <w:pPr>
              <w:autoSpaceDE w:val="0"/>
              <w:autoSpaceDN w:val="0"/>
              <w:spacing w:line="273"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（1）投标人名称和资质与“公路水运工程质量检测管理信息系统（https://www.ttiis.cn）”的复核结果一致。</w:t>
            </w:r>
          </w:p>
          <w:p w14:paraId="7FA1B9EA">
            <w:pPr>
              <w:autoSpaceDE w:val="0"/>
              <w:autoSpaceDN w:val="0"/>
              <w:spacing w:line="273"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（2）投标人信用情况网页截图内容与在“国家企业信用信息公示系统”中严重违法失信企业名单</w:t>
            </w:r>
            <w:r>
              <w:rPr>
                <w:rFonts w:hint="default" w:ascii="Times New Roman" w:hAnsi="Times New Roman" w:cs="Times New Roman"/>
                <w:color w:val="auto"/>
                <w:szCs w:val="21"/>
                <w:highlight w:val="none"/>
              </w:rPr>
              <w:t>（不含分公司</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事业单位不适用</w:t>
            </w:r>
            <w:r>
              <w:rPr>
                <w:rFonts w:hint="default" w:ascii="Times New Roman" w:hAnsi="Times New Roman" w:cs="Times New Roman"/>
                <w:color w:val="auto"/>
                <w:szCs w:val="21"/>
                <w:highlight w:val="none"/>
              </w:rPr>
              <w:t>）</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在“信用中国”网站中失信被执行人名单、经营（活动）异常名录、重大税收违法失信主体名单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政府采购严重违法失信行为记录名单</w:t>
            </w:r>
            <w:r>
              <w:rPr>
                <w:rFonts w:hint="eastAsia" w:ascii="Times New Roman" w:hAnsi="Times New Roman" w:cs="Times New Roman"/>
                <w:color w:val="auto"/>
                <w:highlight w:val="none"/>
                <w:lang w:val="en-US" w:eastAsia="zh-CN"/>
              </w:rPr>
              <w:t>和</w:t>
            </w:r>
            <w:r>
              <w:rPr>
                <w:rFonts w:hint="eastAsia" w:ascii="Times New Roman" w:hAnsi="Times New Roman" w:cs="Times New Roman"/>
                <w:color w:val="auto"/>
                <w:highlight w:val="none"/>
                <w:lang w:eastAsia="zh-CN"/>
              </w:rPr>
              <w:t>安全生产严重失信主体名单</w:t>
            </w:r>
            <w:r>
              <w:rPr>
                <w:rFonts w:hint="default" w:ascii="Times New Roman" w:hAnsi="Times New Roman" w:cs="Times New Roman"/>
                <w:color w:val="auto"/>
                <w:szCs w:val="21"/>
                <w:highlight w:val="none"/>
              </w:rPr>
              <w:t>（均不含分公司）</w:t>
            </w:r>
            <w:r>
              <w:rPr>
                <w:rFonts w:hint="default" w:ascii="Times New Roman" w:hAnsi="Times New Roman" w:cs="Times New Roman"/>
                <w:color w:val="auto"/>
                <w:highlight w:val="none"/>
              </w:rPr>
              <w:t>的复核结果一致。</w:t>
            </w:r>
          </w:p>
          <w:p w14:paraId="502274F5">
            <w:pPr>
              <w:autoSpaceDE w:val="0"/>
              <w:autoSpaceDN w:val="0"/>
              <w:spacing w:line="273"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（3）投标人所附项目负责人、检测技术负责人的试验检测工程师（或公路水运工程试验检测师）网页截图复印件与“公路水运工程质量检测管理信息系统（https://www.ttiis.cn）”核查的结果一致。</w:t>
            </w:r>
          </w:p>
          <w:p w14:paraId="43438E09">
            <w:pPr>
              <w:autoSpaceDE w:val="0"/>
              <w:autoSpaceDN w:val="0"/>
              <w:spacing w:line="273"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上述（1）、（2）、（3）项如投标人未提供相关网页截图或所附截图与复核结果不一致导致不能满足资格要求的，评标委员会应否决其投标。</w:t>
            </w:r>
          </w:p>
          <w:p w14:paraId="7C7AC539">
            <w:pPr>
              <w:autoSpaceDE w:val="0"/>
              <w:autoSpaceDN w:val="0"/>
              <w:spacing w:line="273"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（4）评标委员会在评标时按照投标人提供的验证方式对电子保函或电子保证保险进行验证。如投标人未提供电子保函或电子保证保险的验证方式，或根据提供的验证方式无法核实的，评标委员会应否决其投标。</w:t>
            </w:r>
          </w:p>
          <w:p w14:paraId="201C6677">
            <w:pPr>
              <w:autoSpaceDE w:val="0"/>
              <w:autoSpaceDN w:val="0"/>
              <w:spacing w:line="273"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6B23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6C74CA47">
            <w:pPr>
              <w:spacing w:line="276" w:lineRule="auto"/>
              <w:ind w:right="113" w:rightChars="0"/>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增加3.6.3</w:t>
            </w:r>
          </w:p>
        </w:tc>
        <w:tc>
          <w:tcPr>
            <w:tcW w:w="1102" w:type="dxa"/>
            <w:vAlign w:val="center"/>
          </w:tcPr>
          <w:p w14:paraId="1BD398B8">
            <w:pPr>
              <w:spacing w:line="276" w:lineRule="auto"/>
              <w:ind w:right="113" w:righ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rPr>
              <w:t>投标人其他异常投标情形</w:t>
            </w:r>
          </w:p>
        </w:tc>
        <w:tc>
          <w:tcPr>
            <w:tcW w:w="7397" w:type="dxa"/>
            <w:vAlign w:val="center"/>
          </w:tcPr>
          <w:p w14:paraId="533694B0">
            <w:pPr>
              <w:snapToGrid w:val="0"/>
              <w:spacing w:line="288" w:lineRule="auto"/>
              <w:ind w:firstLine="420" w:firstLineChars="200"/>
              <w:rPr>
                <w:rFonts w:hint="eastAsia" w:ascii="宋体" w:hAnsi="宋体"/>
                <w:szCs w:val="21"/>
                <w:highlight w:val="none"/>
              </w:rPr>
            </w:pPr>
            <w:r>
              <w:rPr>
                <w:rFonts w:hint="eastAsia" w:ascii="宋体" w:hAnsi="宋体"/>
                <w:color w:val="auto"/>
                <w:szCs w:val="21"/>
                <w:highlight w:val="none"/>
              </w:rPr>
              <w:t>评标委员会在评标过程中发现存在投标文件异常一致或投标活动异常关联等异常投标情形的，</w:t>
            </w:r>
            <w:r>
              <w:rPr>
                <w:rFonts w:hint="eastAsia" w:ascii="宋体" w:hAnsi="宋体"/>
                <w:szCs w:val="21"/>
                <w:highlight w:val="none"/>
              </w:rPr>
              <w:t>应当要求投标人在规定时间内作出书面说明并提供相应的证明材料。投标人不能合理说明或者不能提供相应证明材料的，评标委员会应当认定投标人</w:t>
            </w:r>
            <w:r>
              <w:rPr>
                <w:rFonts w:hint="eastAsia" w:ascii="宋体" w:hAnsi="宋体"/>
                <w:color w:val="auto"/>
                <w:szCs w:val="21"/>
                <w:highlight w:val="none"/>
              </w:rPr>
              <w:t>存在</w:t>
            </w:r>
            <w:r>
              <w:rPr>
                <w:rFonts w:hint="eastAsia" w:ascii="宋体" w:hAnsi="宋体"/>
                <w:color w:val="auto"/>
                <w:szCs w:val="21"/>
                <w:highlight w:val="none"/>
                <w:lang w:eastAsia="zh-CN"/>
              </w:rPr>
              <w:t>串通投标等违法行为</w:t>
            </w:r>
            <w:r>
              <w:rPr>
                <w:rFonts w:hint="eastAsia" w:ascii="宋体" w:hAnsi="宋体"/>
                <w:szCs w:val="21"/>
                <w:highlight w:val="none"/>
              </w:rPr>
              <w:t>，并否决其投标。</w:t>
            </w:r>
          </w:p>
          <w:p w14:paraId="1D2724A0">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有下列情形之一的，属于投标文件异常一致或投标活动异常关联等异常投标情形：</w:t>
            </w:r>
          </w:p>
          <w:p w14:paraId="1A916999">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（1）投标人投标文件制作机器码雷同；</w:t>
            </w:r>
          </w:p>
          <w:p w14:paraId="7DA839A9">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（2）投标文件创建标识码雷同；</w:t>
            </w:r>
          </w:p>
          <w:p w14:paraId="06156E64">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（3）投标文件制作计算机MAC地址雷同；</w:t>
            </w:r>
          </w:p>
          <w:p w14:paraId="4B9BE56A">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（4）投标文件制作计算机硬盘序列号雷同；</w:t>
            </w:r>
          </w:p>
          <w:p w14:paraId="13E10EF0">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（5）招标文件下载IP地址雷同；</w:t>
            </w:r>
          </w:p>
          <w:p w14:paraId="2EC21D94">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（6）投标文件上传IP地址雷同；</w:t>
            </w:r>
          </w:p>
          <w:p w14:paraId="7546C35E">
            <w:pPr>
              <w:spacing w:line="276" w:lineRule="auto"/>
              <w:ind w:right="113" w:rightChars="0" w:firstLine="420" w:firstLineChars="200"/>
              <w:rPr>
                <w:rFonts w:hint="default" w:ascii="Times New Roman" w:hAnsi="Times New Roman" w:cs="Times New Roman"/>
                <w:color w:val="auto"/>
                <w:sz w:val="21"/>
                <w:szCs w:val="21"/>
                <w:highlight w:val="none"/>
              </w:rPr>
            </w:pPr>
            <w:r>
              <w:rPr>
                <w:rFonts w:hint="eastAsia" w:ascii="宋体" w:hAnsi="宋体"/>
                <w:color w:val="auto"/>
                <w:szCs w:val="21"/>
                <w:highlight w:val="none"/>
              </w:rPr>
              <w:t>（7）投标文件解密IP地址雷同。</w:t>
            </w:r>
          </w:p>
        </w:tc>
      </w:tr>
      <w:tr w14:paraId="15FC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2D894DFC">
            <w:pPr>
              <w:jc w:val="left"/>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需要补充的其他内容：</w:t>
            </w:r>
            <w:r>
              <w:rPr>
                <w:rFonts w:hint="default" w:ascii="Times New Roman" w:hAnsi="Times New Roman" w:cs="Times New Roman"/>
                <w:bCs/>
                <w:color w:val="auto"/>
                <w:szCs w:val="21"/>
                <w:highlight w:val="none"/>
              </w:rPr>
              <w:t>无</w:t>
            </w:r>
          </w:p>
        </w:tc>
      </w:tr>
    </w:tbl>
    <w:p w14:paraId="5EAA3C61">
      <w:pPr>
        <w:ind w:firstLine="420"/>
        <w:rPr>
          <w:rFonts w:hint="default" w:ascii="Times New Roman" w:hAnsi="Times New Roman" w:cs="Times New Roman"/>
          <w:color w:val="auto"/>
          <w:highlight w:val="none"/>
        </w:rPr>
      </w:pPr>
    </w:p>
    <w:p w14:paraId="434588E3">
      <w:pPr>
        <w:ind w:firstLine="420"/>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r>
        <w:rPr>
          <w:rFonts w:hint="default" w:ascii="Times New Roman" w:hAnsi="Times New Roman" w:cs="Times New Roman"/>
          <w:color w:val="auto"/>
          <w:highlight w:val="none"/>
        </w:rPr>
        <w:t>续上表</w:t>
      </w:r>
    </w:p>
    <w:tbl>
      <w:tblPr>
        <w:tblStyle w:val="6"/>
        <w:tblW w:w="9198" w:type="dxa"/>
        <w:tblInd w:w="-11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7"/>
        <w:gridCol w:w="516"/>
        <w:gridCol w:w="905"/>
        <w:gridCol w:w="1414"/>
        <w:gridCol w:w="7"/>
        <w:gridCol w:w="702"/>
        <w:gridCol w:w="4677"/>
      </w:tblGrid>
      <w:tr w14:paraId="6F50C3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08" w:hRule="exact"/>
        </w:trPr>
        <w:tc>
          <w:tcPr>
            <w:tcW w:w="977" w:type="dxa"/>
            <w:vAlign w:val="center"/>
          </w:tcPr>
          <w:p w14:paraId="50B7D2E6">
            <w:pPr>
              <w:autoSpaceDE w:val="0"/>
              <w:autoSpaceDN w:val="0"/>
              <w:spacing w:line="440" w:lineRule="exact"/>
              <w:ind w:right="-107"/>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条款号</w:t>
            </w:r>
          </w:p>
        </w:tc>
        <w:tc>
          <w:tcPr>
            <w:tcW w:w="3544" w:type="dxa"/>
            <w:gridSpan w:val="5"/>
            <w:tcBorders>
              <w:right w:val="single" w:color="auto" w:sz="4" w:space="0"/>
            </w:tcBorders>
            <w:vAlign w:val="center"/>
          </w:tcPr>
          <w:p w14:paraId="62CD59D7">
            <w:pPr>
              <w:autoSpaceDE w:val="0"/>
              <w:autoSpaceDN w:val="0"/>
              <w:spacing w:line="440" w:lineRule="exact"/>
              <w:ind w:right="-107"/>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评审因素与权重分值</w:t>
            </w:r>
          </w:p>
        </w:tc>
        <w:tc>
          <w:tcPr>
            <w:tcW w:w="4677" w:type="dxa"/>
            <w:vMerge w:val="restart"/>
            <w:tcBorders>
              <w:left w:val="single" w:color="auto" w:sz="4" w:space="0"/>
            </w:tcBorders>
            <w:vAlign w:val="center"/>
          </w:tcPr>
          <w:p w14:paraId="0F99927E">
            <w:pPr>
              <w:autoSpaceDE w:val="0"/>
              <w:autoSpaceDN w:val="0"/>
              <w:spacing w:line="440" w:lineRule="exact"/>
              <w:ind w:right="-107" w:firstLine="422"/>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评分标准</w:t>
            </w:r>
          </w:p>
        </w:tc>
      </w:tr>
      <w:tr w14:paraId="3AC78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56" w:hRule="exact"/>
        </w:trPr>
        <w:tc>
          <w:tcPr>
            <w:tcW w:w="977" w:type="dxa"/>
            <w:vMerge w:val="restart"/>
            <w:vAlign w:val="center"/>
          </w:tcPr>
          <w:p w14:paraId="0D5686A4">
            <w:pPr>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2.2.4（1）</w:t>
            </w:r>
          </w:p>
        </w:tc>
        <w:tc>
          <w:tcPr>
            <w:tcW w:w="516" w:type="dxa"/>
            <w:vAlign w:val="center"/>
          </w:tcPr>
          <w:p w14:paraId="510F6D8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评分</w:t>
            </w:r>
          </w:p>
          <w:p w14:paraId="505C959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因素</w:t>
            </w:r>
          </w:p>
        </w:tc>
        <w:tc>
          <w:tcPr>
            <w:tcW w:w="905" w:type="dxa"/>
            <w:vAlign w:val="center"/>
          </w:tcPr>
          <w:p w14:paraId="49989B2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评分因素权重分值</w:t>
            </w:r>
          </w:p>
        </w:tc>
        <w:tc>
          <w:tcPr>
            <w:tcW w:w="1414" w:type="dxa"/>
            <w:tcBorders>
              <w:right w:val="single" w:color="auto" w:sz="4" w:space="0"/>
            </w:tcBorders>
            <w:vAlign w:val="center"/>
          </w:tcPr>
          <w:p w14:paraId="0A92D6A5">
            <w:pPr>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各评分因素</w:t>
            </w:r>
          </w:p>
          <w:p w14:paraId="67AA3336">
            <w:pPr>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细分项</w:t>
            </w:r>
          </w:p>
        </w:tc>
        <w:tc>
          <w:tcPr>
            <w:tcW w:w="709" w:type="dxa"/>
            <w:gridSpan w:val="2"/>
            <w:tcBorders>
              <w:left w:val="single" w:color="auto" w:sz="4" w:space="0"/>
              <w:right w:val="single" w:color="auto" w:sz="4" w:space="0"/>
            </w:tcBorders>
            <w:vAlign w:val="center"/>
          </w:tcPr>
          <w:p w14:paraId="64A35DB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分值</w:t>
            </w:r>
          </w:p>
        </w:tc>
        <w:tc>
          <w:tcPr>
            <w:tcW w:w="4677" w:type="dxa"/>
            <w:vMerge w:val="continue"/>
            <w:tcBorders>
              <w:left w:val="single" w:color="auto" w:sz="4" w:space="0"/>
              <w:bottom w:val="single" w:color="auto" w:sz="4" w:space="0"/>
            </w:tcBorders>
            <w:vAlign w:val="center"/>
          </w:tcPr>
          <w:p w14:paraId="42A73A74">
            <w:pPr>
              <w:autoSpaceDE w:val="0"/>
              <w:autoSpaceDN w:val="0"/>
              <w:snapToGrid w:val="0"/>
              <w:ind w:right="-107" w:firstLine="420"/>
              <w:jc w:val="center"/>
              <w:rPr>
                <w:rFonts w:hint="default" w:ascii="Times New Roman" w:hAnsi="Times New Roman" w:cs="Times New Roman"/>
                <w:color w:val="auto"/>
                <w:kern w:val="0"/>
                <w:szCs w:val="21"/>
                <w:highlight w:val="none"/>
              </w:rPr>
            </w:pPr>
          </w:p>
        </w:tc>
      </w:tr>
      <w:tr w14:paraId="3A2C0A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7F71B131">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restart"/>
            <w:vAlign w:val="center"/>
          </w:tcPr>
          <w:p w14:paraId="26ED8431">
            <w:pPr>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技术建议书（暗标）</w:t>
            </w:r>
          </w:p>
        </w:tc>
        <w:tc>
          <w:tcPr>
            <w:tcW w:w="905" w:type="dxa"/>
            <w:vMerge w:val="restart"/>
            <w:vAlign w:val="center"/>
          </w:tcPr>
          <w:p w14:paraId="23A26AD2">
            <w:pPr>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50分</w:t>
            </w:r>
          </w:p>
        </w:tc>
        <w:tc>
          <w:tcPr>
            <w:tcW w:w="1414" w:type="dxa"/>
            <w:tcBorders>
              <w:right w:val="single" w:color="auto" w:sz="4" w:space="0"/>
            </w:tcBorders>
            <w:vAlign w:val="center"/>
          </w:tcPr>
          <w:p w14:paraId="28BD5A9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工作大纲</w:t>
            </w:r>
          </w:p>
        </w:tc>
        <w:tc>
          <w:tcPr>
            <w:tcW w:w="709" w:type="dxa"/>
            <w:gridSpan w:val="2"/>
            <w:tcBorders>
              <w:left w:val="single" w:color="auto" w:sz="4" w:space="0"/>
              <w:right w:val="single" w:color="auto" w:sz="4" w:space="0"/>
            </w:tcBorders>
            <w:vAlign w:val="center"/>
          </w:tcPr>
          <w:p w14:paraId="3A70A6A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10分</w:t>
            </w:r>
          </w:p>
        </w:tc>
        <w:tc>
          <w:tcPr>
            <w:tcW w:w="4677" w:type="dxa"/>
            <w:tcBorders>
              <w:top w:val="single" w:color="auto" w:sz="4" w:space="0"/>
              <w:left w:val="single" w:color="auto" w:sz="4" w:space="0"/>
            </w:tcBorders>
            <w:vAlign w:val="center"/>
          </w:tcPr>
          <w:p w14:paraId="7E29D09C">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基本合理，措施一般，得6分；</w:t>
            </w:r>
          </w:p>
          <w:p w14:paraId="4EC0351F">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合理，可行，得6-8分；</w:t>
            </w:r>
          </w:p>
          <w:p w14:paraId="35BB8DC4">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科学先进，措施完善，可操作性强，得8-10分。</w:t>
            </w:r>
          </w:p>
        </w:tc>
      </w:tr>
      <w:tr w14:paraId="13F005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391D9D47">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continue"/>
            <w:vAlign w:val="center"/>
          </w:tcPr>
          <w:p w14:paraId="7C09664A">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905" w:type="dxa"/>
            <w:vMerge w:val="continue"/>
            <w:vAlign w:val="center"/>
          </w:tcPr>
          <w:p w14:paraId="3BD9FFEE">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1414" w:type="dxa"/>
            <w:tcBorders>
              <w:right w:val="single" w:color="auto" w:sz="4" w:space="0"/>
            </w:tcBorders>
            <w:vAlign w:val="center"/>
          </w:tcPr>
          <w:p w14:paraId="7199628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对本项目工作范围和任务理解</w:t>
            </w:r>
          </w:p>
        </w:tc>
        <w:tc>
          <w:tcPr>
            <w:tcW w:w="709" w:type="dxa"/>
            <w:gridSpan w:val="2"/>
            <w:tcBorders>
              <w:left w:val="single" w:color="auto" w:sz="4" w:space="0"/>
              <w:right w:val="single" w:color="auto" w:sz="4" w:space="0"/>
            </w:tcBorders>
            <w:vAlign w:val="center"/>
          </w:tcPr>
          <w:p w14:paraId="2375EFE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8分</w:t>
            </w:r>
          </w:p>
        </w:tc>
        <w:tc>
          <w:tcPr>
            <w:tcW w:w="4677" w:type="dxa"/>
            <w:tcBorders>
              <w:left w:val="single" w:color="auto" w:sz="4" w:space="0"/>
            </w:tcBorders>
            <w:vAlign w:val="center"/>
          </w:tcPr>
          <w:p w14:paraId="3DC01731">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理解基本准确，思路欠合理，得4.8分；</w:t>
            </w:r>
          </w:p>
          <w:p w14:paraId="7CC4FDA3">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理解基本准确，思路一般，得4.8-6.4分；</w:t>
            </w:r>
          </w:p>
          <w:p w14:paraId="5C23B85A">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理解准确，思路清晰，全面、合理，符合项目要求，得6.4-8分。</w:t>
            </w:r>
          </w:p>
        </w:tc>
      </w:tr>
      <w:tr w14:paraId="4A32D6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076DAFE4">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continue"/>
            <w:vAlign w:val="center"/>
          </w:tcPr>
          <w:p w14:paraId="7C94F524">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905" w:type="dxa"/>
            <w:vMerge w:val="continue"/>
            <w:vAlign w:val="center"/>
          </w:tcPr>
          <w:p w14:paraId="29A7A9D4">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1414" w:type="dxa"/>
            <w:tcBorders>
              <w:right w:val="single" w:color="auto" w:sz="4" w:space="0"/>
            </w:tcBorders>
            <w:vAlign w:val="center"/>
          </w:tcPr>
          <w:p w14:paraId="64AC4B7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对招标项目的特点、关键技术问题的认识及其对策措施</w:t>
            </w:r>
          </w:p>
        </w:tc>
        <w:tc>
          <w:tcPr>
            <w:tcW w:w="709" w:type="dxa"/>
            <w:gridSpan w:val="2"/>
            <w:tcBorders>
              <w:left w:val="single" w:color="auto" w:sz="4" w:space="0"/>
              <w:right w:val="single" w:color="auto" w:sz="4" w:space="0"/>
            </w:tcBorders>
            <w:vAlign w:val="center"/>
          </w:tcPr>
          <w:p w14:paraId="1ACE9BF1">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8分</w:t>
            </w:r>
          </w:p>
        </w:tc>
        <w:tc>
          <w:tcPr>
            <w:tcW w:w="4677" w:type="dxa"/>
            <w:tcBorders>
              <w:left w:val="single" w:color="auto" w:sz="4" w:space="0"/>
            </w:tcBorders>
            <w:vAlign w:val="center"/>
          </w:tcPr>
          <w:p w14:paraId="7BA096B1">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项目的特点和关键技术问题的针对性一般，技术建议基本可行，得4.8分；</w:t>
            </w:r>
          </w:p>
          <w:p w14:paraId="66F69480">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项目的特点和关键技术问题针对性较强，技术建议可行，得4.8-6.4分；</w:t>
            </w:r>
          </w:p>
          <w:p w14:paraId="52F397F0">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项目的特点针对性强，关键技术问题对策明确、合理，技术建议科学、有效、可行，得6.4-8分。</w:t>
            </w:r>
          </w:p>
        </w:tc>
      </w:tr>
      <w:tr w14:paraId="5932F9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18719D96">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continue"/>
            <w:vAlign w:val="center"/>
          </w:tcPr>
          <w:p w14:paraId="44C17312">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905" w:type="dxa"/>
            <w:vMerge w:val="continue"/>
            <w:vAlign w:val="center"/>
          </w:tcPr>
          <w:p w14:paraId="003B0E2D">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1414" w:type="dxa"/>
            <w:tcBorders>
              <w:right w:val="single" w:color="auto" w:sz="4" w:space="0"/>
            </w:tcBorders>
            <w:vAlign w:val="center"/>
          </w:tcPr>
          <w:p w14:paraId="7EE8212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检测方法和评价分析方法</w:t>
            </w:r>
          </w:p>
        </w:tc>
        <w:tc>
          <w:tcPr>
            <w:tcW w:w="709" w:type="dxa"/>
            <w:gridSpan w:val="2"/>
            <w:tcBorders>
              <w:left w:val="single" w:color="auto" w:sz="4" w:space="0"/>
              <w:right w:val="single" w:color="auto" w:sz="4" w:space="0"/>
            </w:tcBorders>
            <w:vAlign w:val="center"/>
          </w:tcPr>
          <w:p w14:paraId="37A375D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5分</w:t>
            </w:r>
          </w:p>
        </w:tc>
        <w:tc>
          <w:tcPr>
            <w:tcW w:w="4677" w:type="dxa"/>
            <w:tcBorders>
              <w:left w:val="single" w:color="auto" w:sz="4" w:space="0"/>
            </w:tcBorders>
            <w:vAlign w:val="center"/>
          </w:tcPr>
          <w:p w14:paraId="48A423C8">
            <w:pPr>
              <w:pStyle w:val="5"/>
              <w:adjustRightInd w:val="0"/>
              <w:snapToGrid w:val="0"/>
              <w:spacing w:line="320" w:lineRule="exact"/>
              <w:jc w:val="left"/>
              <w:rPr>
                <w:rFonts w:hint="default" w:ascii="Times New Roman" w:hAnsi="Times New Roman" w:cs="Times New Roman"/>
                <w:color w:val="auto"/>
                <w:spacing w:val="-12"/>
                <w:sz w:val="21"/>
                <w:szCs w:val="21"/>
                <w:highlight w:val="none"/>
              </w:rPr>
            </w:pPr>
            <w:r>
              <w:rPr>
                <w:rFonts w:hint="default" w:ascii="Times New Roman" w:hAnsi="Times New Roman" w:cs="Times New Roman"/>
                <w:color w:val="auto"/>
                <w:spacing w:val="-12"/>
                <w:sz w:val="21"/>
                <w:szCs w:val="21"/>
                <w:highlight w:val="none"/>
              </w:rPr>
              <w:t>检测方法和评价分析方法基本适合本项目，得3分；</w:t>
            </w:r>
          </w:p>
          <w:p w14:paraId="0143511C">
            <w:pPr>
              <w:pStyle w:val="5"/>
              <w:adjustRightInd w:val="0"/>
              <w:snapToGrid w:val="0"/>
              <w:spacing w:line="320" w:lineRule="exact"/>
              <w:jc w:val="left"/>
              <w:rPr>
                <w:rFonts w:hint="default" w:ascii="Times New Roman" w:hAnsi="Times New Roman" w:cs="Times New Roman"/>
                <w:color w:val="auto"/>
                <w:spacing w:val="-12"/>
                <w:sz w:val="21"/>
                <w:szCs w:val="21"/>
                <w:highlight w:val="none"/>
              </w:rPr>
            </w:pPr>
            <w:r>
              <w:rPr>
                <w:rFonts w:hint="default" w:ascii="Times New Roman" w:hAnsi="Times New Roman" w:cs="Times New Roman"/>
                <w:color w:val="auto"/>
                <w:spacing w:val="-12"/>
                <w:sz w:val="21"/>
                <w:szCs w:val="21"/>
                <w:highlight w:val="none"/>
              </w:rPr>
              <w:t>检测方法和评价分析方法较为适合本项目，得3-4分；</w:t>
            </w:r>
          </w:p>
          <w:p w14:paraId="2D5C312F">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2"/>
                <w:sz w:val="21"/>
                <w:szCs w:val="21"/>
                <w:highlight w:val="none"/>
              </w:rPr>
              <w:t>检测方法和评价分析方法适合本项目，得4-5分。</w:t>
            </w:r>
          </w:p>
        </w:tc>
      </w:tr>
      <w:tr w14:paraId="60EA3A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71051143">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continue"/>
            <w:vAlign w:val="center"/>
          </w:tcPr>
          <w:p w14:paraId="01958246">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905" w:type="dxa"/>
            <w:vMerge w:val="continue"/>
            <w:vAlign w:val="center"/>
          </w:tcPr>
          <w:p w14:paraId="0019F7A6">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1414" w:type="dxa"/>
            <w:tcBorders>
              <w:right w:val="single" w:color="auto" w:sz="4" w:space="0"/>
            </w:tcBorders>
            <w:vAlign w:val="center"/>
          </w:tcPr>
          <w:p w14:paraId="4E0C1CF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质量、安全保证措施</w:t>
            </w:r>
          </w:p>
        </w:tc>
        <w:tc>
          <w:tcPr>
            <w:tcW w:w="709" w:type="dxa"/>
            <w:gridSpan w:val="2"/>
            <w:tcBorders>
              <w:left w:val="single" w:color="auto" w:sz="4" w:space="0"/>
              <w:right w:val="single" w:color="auto" w:sz="4" w:space="0"/>
            </w:tcBorders>
            <w:vAlign w:val="center"/>
          </w:tcPr>
          <w:p w14:paraId="61367B7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5分</w:t>
            </w:r>
          </w:p>
        </w:tc>
        <w:tc>
          <w:tcPr>
            <w:tcW w:w="4677" w:type="dxa"/>
            <w:tcBorders>
              <w:left w:val="single" w:color="auto" w:sz="4" w:space="0"/>
            </w:tcBorders>
            <w:vAlign w:val="center"/>
          </w:tcPr>
          <w:p w14:paraId="02962EC2">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措施一般，得3分；</w:t>
            </w:r>
          </w:p>
          <w:p w14:paraId="148E4E12">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合理，可行，得3-4分；</w:t>
            </w:r>
          </w:p>
          <w:p w14:paraId="163945C5">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科学先进、严密，得4-5分。</w:t>
            </w:r>
          </w:p>
        </w:tc>
      </w:tr>
      <w:tr w14:paraId="4EEDE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640CC74E">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continue"/>
            <w:vAlign w:val="center"/>
          </w:tcPr>
          <w:p w14:paraId="7AE043FA">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905" w:type="dxa"/>
            <w:vMerge w:val="continue"/>
            <w:vAlign w:val="center"/>
          </w:tcPr>
          <w:p w14:paraId="217AE545">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1414" w:type="dxa"/>
            <w:tcBorders>
              <w:right w:val="single" w:color="auto" w:sz="4" w:space="0"/>
            </w:tcBorders>
            <w:vAlign w:val="center"/>
          </w:tcPr>
          <w:p w14:paraId="37F2AEC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本项目工作量及计划安排</w:t>
            </w:r>
          </w:p>
        </w:tc>
        <w:tc>
          <w:tcPr>
            <w:tcW w:w="709" w:type="dxa"/>
            <w:gridSpan w:val="2"/>
            <w:tcBorders>
              <w:left w:val="single" w:color="auto" w:sz="4" w:space="0"/>
              <w:right w:val="single" w:color="auto" w:sz="4" w:space="0"/>
            </w:tcBorders>
            <w:vAlign w:val="center"/>
          </w:tcPr>
          <w:p w14:paraId="4B421F7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5分</w:t>
            </w:r>
          </w:p>
        </w:tc>
        <w:tc>
          <w:tcPr>
            <w:tcW w:w="4677" w:type="dxa"/>
            <w:tcBorders>
              <w:left w:val="single" w:color="auto" w:sz="4" w:space="0"/>
            </w:tcBorders>
            <w:vAlign w:val="center"/>
          </w:tcPr>
          <w:p w14:paraId="0AEAFE90">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工作量及计划安排基本合理，得3分；</w:t>
            </w:r>
          </w:p>
          <w:p w14:paraId="2BC5CB1A">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工作量及计划安排合理，得3-4分；</w:t>
            </w:r>
          </w:p>
          <w:p w14:paraId="689619A4">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工作量及计划安排科学，安排周密，得4-5分。</w:t>
            </w:r>
          </w:p>
        </w:tc>
      </w:tr>
      <w:tr w14:paraId="4A3C7D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34EAEC06">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continue"/>
            <w:vAlign w:val="center"/>
          </w:tcPr>
          <w:p w14:paraId="1C64D3AA">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905" w:type="dxa"/>
            <w:vMerge w:val="continue"/>
            <w:vAlign w:val="center"/>
          </w:tcPr>
          <w:p w14:paraId="2DC9079C">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1414" w:type="dxa"/>
            <w:tcBorders>
              <w:right w:val="single" w:color="auto" w:sz="4" w:space="0"/>
            </w:tcBorders>
            <w:vAlign w:val="center"/>
          </w:tcPr>
          <w:p w14:paraId="0AE3AD5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交通组织方案</w:t>
            </w:r>
          </w:p>
        </w:tc>
        <w:tc>
          <w:tcPr>
            <w:tcW w:w="709" w:type="dxa"/>
            <w:gridSpan w:val="2"/>
            <w:tcBorders>
              <w:left w:val="single" w:color="auto" w:sz="4" w:space="0"/>
              <w:right w:val="single" w:color="auto" w:sz="4" w:space="0"/>
            </w:tcBorders>
            <w:vAlign w:val="center"/>
          </w:tcPr>
          <w:p w14:paraId="6637B3C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5分</w:t>
            </w:r>
          </w:p>
        </w:tc>
        <w:tc>
          <w:tcPr>
            <w:tcW w:w="4677" w:type="dxa"/>
            <w:tcBorders>
              <w:left w:val="single" w:color="auto" w:sz="4" w:space="0"/>
            </w:tcBorders>
            <w:vAlign w:val="center"/>
          </w:tcPr>
          <w:p w14:paraId="6EBB5D4E">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交通组织方案一般，得3分；</w:t>
            </w:r>
          </w:p>
          <w:p w14:paraId="22E26F3D">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交通组织方案较合理可行、较完善，得3-4分；</w:t>
            </w:r>
          </w:p>
          <w:p w14:paraId="2635F0FF">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交通组织方案合理可行、完善、可实施性强，得4-5分。</w:t>
            </w:r>
          </w:p>
        </w:tc>
      </w:tr>
      <w:tr w14:paraId="6E6C48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1C695E9A">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516" w:type="dxa"/>
            <w:vMerge w:val="continue"/>
            <w:vAlign w:val="center"/>
          </w:tcPr>
          <w:p w14:paraId="79ABED3F">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905" w:type="dxa"/>
            <w:vMerge w:val="continue"/>
            <w:vAlign w:val="center"/>
          </w:tcPr>
          <w:p w14:paraId="220EE7AA">
            <w:pPr>
              <w:autoSpaceDE w:val="0"/>
              <w:autoSpaceDN w:val="0"/>
              <w:snapToGrid w:val="0"/>
              <w:ind w:right="-107" w:firstLine="420"/>
              <w:jc w:val="center"/>
              <w:rPr>
                <w:rFonts w:hint="default" w:ascii="Times New Roman" w:hAnsi="Times New Roman" w:cs="Times New Roman"/>
                <w:color w:val="auto"/>
                <w:kern w:val="0"/>
                <w:szCs w:val="21"/>
                <w:highlight w:val="none"/>
              </w:rPr>
            </w:pPr>
          </w:p>
        </w:tc>
        <w:tc>
          <w:tcPr>
            <w:tcW w:w="1414" w:type="dxa"/>
            <w:tcBorders>
              <w:right w:val="single" w:color="auto" w:sz="4" w:space="0"/>
            </w:tcBorders>
            <w:vAlign w:val="center"/>
          </w:tcPr>
          <w:p w14:paraId="0304F83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检测成果和服务的安排及保证措施</w:t>
            </w:r>
          </w:p>
        </w:tc>
        <w:tc>
          <w:tcPr>
            <w:tcW w:w="709" w:type="dxa"/>
            <w:gridSpan w:val="2"/>
            <w:tcBorders>
              <w:left w:val="single" w:color="auto" w:sz="4" w:space="0"/>
              <w:right w:val="single" w:color="auto" w:sz="4" w:space="0"/>
            </w:tcBorders>
            <w:vAlign w:val="center"/>
          </w:tcPr>
          <w:p w14:paraId="4B3A693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4分</w:t>
            </w:r>
          </w:p>
        </w:tc>
        <w:tc>
          <w:tcPr>
            <w:tcW w:w="4677" w:type="dxa"/>
            <w:tcBorders>
              <w:left w:val="single" w:color="auto" w:sz="4" w:space="0"/>
            </w:tcBorders>
            <w:vAlign w:val="center"/>
          </w:tcPr>
          <w:p w14:paraId="17A5AE69">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检测成果符合国家规范要求，服务的承诺及保证措施基本完善，得2.4分；</w:t>
            </w:r>
          </w:p>
          <w:p w14:paraId="491D75E0">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检测成果符合国家规范要求，服务的承诺及保证措施较完善，得2.4-3.2分；</w:t>
            </w:r>
          </w:p>
          <w:p w14:paraId="67BF9FD3">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检测成果符合国家规范要求，服务的承诺及保证措施完善，得3.2-4分。</w:t>
            </w:r>
          </w:p>
        </w:tc>
      </w:tr>
      <w:tr w14:paraId="29581E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8" w:hRule="atLeast"/>
        </w:trPr>
        <w:tc>
          <w:tcPr>
            <w:tcW w:w="977" w:type="dxa"/>
            <w:vMerge w:val="restart"/>
            <w:vAlign w:val="center"/>
          </w:tcPr>
          <w:p w14:paraId="16D5E091">
            <w:pPr>
              <w:pStyle w:val="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2.2.4（2）</w:t>
            </w:r>
          </w:p>
        </w:tc>
        <w:tc>
          <w:tcPr>
            <w:tcW w:w="516" w:type="dxa"/>
            <w:vMerge w:val="restart"/>
            <w:vAlign w:val="center"/>
          </w:tcPr>
          <w:p w14:paraId="0D74613F">
            <w:pPr>
              <w:pStyle w:val="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主要人员</w:t>
            </w:r>
          </w:p>
        </w:tc>
        <w:tc>
          <w:tcPr>
            <w:tcW w:w="905" w:type="dxa"/>
            <w:vMerge w:val="restart"/>
            <w:vAlign w:val="center"/>
          </w:tcPr>
          <w:p w14:paraId="7E6ADA39">
            <w:pPr>
              <w:pStyle w:val="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20分</w:t>
            </w:r>
          </w:p>
        </w:tc>
        <w:tc>
          <w:tcPr>
            <w:tcW w:w="1421" w:type="dxa"/>
            <w:gridSpan w:val="2"/>
            <w:tcBorders>
              <w:right w:val="single" w:color="auto" w:sz="4" w:space="0"/>
            </w:tcBorders>
            <w:vAlign w:val="center"/>
          </w:tcPr>
          <w:p w14:paraId="31B074BA">
            <w:pPr>
              <w:pStyle w:val="5"/>
              <w:spacing w:line="30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项目负责人</w:t>
            </w:r>
          </w:p>
        </w:tc>
        <w:tc>
          <w:tcPr>
            <w:tcW w:w="702" w:type="dxa"/>
            <w:tcBorders>
              <w:left w:val="single" w:color="auto" w:sz="4" w:space="0"/>
              <w:right w:val="single" w:color="auto" w:sz="4" w:space="0"/>
            </w:tcBorders>
            <w:vAlign w:val="center"/>
          </w:tcPr>
          <w:p w14:paraId="2C23202B">
            <w:pPr>
              <w:pStyle w:val="5"/>
              <w:spacing w:line="300" w:lineRule="exact"/>
              <w:rPr>
                <w:rFonts w:hint="default" w:ascii="Times New Roman" w:hAnsi="Times New Roman" w:cs="Times New Roman"/>
                <w:color w:val="auto"/>
                <w:sz w:val="21"/>
                <w:szCs w:val="21"/>
                <w:highlight w:val="none"/>
              </w:rPr>
            </w:pPr>
            <w:r>
              <w:rPr>
                <w:rFonts w:hint="eastAsia" w:ascii="Times New Roman" w:hAnsi="Times New Roman" w:cs="Times New Roman"/>
                <w:color w:val="auto"/>
                <w:kern w:val="2"/>
                <w:sz w:val="21"/>
                <w:szCs w:val="21"/>
                <w:highlight w:val="none"/>
                <w:lang w:val="en-US" w:eastAsia="zh-CN"/>
              </w:rPr>
              <w:t>4</w:t>
            </w:r>
            <w:r>
              <w:rPr>
                <w:rFonts w:hint="default" w:ascii="Times New Roman" w:hAnsi="Times New Roman" w:cs="Times New Roman"/>
                <w:color w:val="auto"/>
                <w:kern w:val="2"/>
                <w:sz w:val="21"/>
                <w:szCs w:val="21"/>
                <w:highlight w:val="none"/>
              </w:rPr>
              <w:t>分</w:t>
            </w:r>
          </w:p>
        </w:tc>
        <w:tc>
          <w:tcPr>
            <w:tcW w:w="4677" w:type="dxa"/>
            <w:tcBorders>
              <w:left w:val="single" w:color="auto" w:sz="4" w:space="0"/>
            </w:tcBorders>
            <w:vAlign w:val="center"/>
          </w:tcPr>
          <w:p w14:paraId="14B9A633">
            <w:pPr>
              <w:pStyle w:val="5"/>
              <w:adjustRightInd w:val="0"/>
              <w:snapToGrid w:val="0"/>
              <w:spacing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项目负责人满足资格审查条件（项目负责人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中项目负责人最低要求，</w:t>
            </w:r>
            <w:r>
              <w:rPr>
                <w:rFonts w:hint="default" w:ascii="Times New Roman" w:hAnsi="Times New Roman" w:cs="Times New Roman"/>
                <w:color w:val="auto"/>
                <w:sz w:val="21"/>
                <w:szCs w:val="21"/>
                <w:highlight w:val="none"/>
              </w:rPr>
              <w:t>得</w:t>
            </w:r>
            <w:r>
              <w:rPr>
                <w:rFonts w:hint="eastAsia"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分。</w:t>
            </w:r>
          </w:p>
          <w:p w14:paraId="5779D840">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项目负责人每增加1项满足资格审查条件（项目负责人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中项目负责人</w:t>
            </w:r>
            <w:r>
              <w:rPr>
                <w:rFonts w:hint="default" w:ascii="Times New Roman" w:hAnsi="Times New Roman" w:cs="Times New Roman"/>
                <w:color w:val="auto"/>
                <w:sz w:val="21"/>
                <w:szCs w:val="21"/>
                <w:highlight w:val="none"/>
              </w:rPr>
              <w:t>的业绩加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分，最多加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w:t>
            </w:r>
          </w:p>
        </w:tc>
      </w:tr>
      <w:tr w14:paraId="541EFA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trPr>
        <w:tc>
          <w:tcPr>
            <w:tcW w:w="977" w:type="dxa"/>
            <w:vMerge w:val="continue"/>
            <w:vAlign w:val="center"/>
          </w:tcPr>
          <w:p w14:paraId="0F280E41">
            <w:pPr>
              <w:pStyle w:val="5"/>
              <w:rPr>
                <w:rFonts w:hint="default" w:ascii="Times New Roman" w:hAnsi="Times New Roman" w:cs="Times New Roman"/>
                <w:color w:val="auto"/>
                <w:sz w:val="21"/>
                <w:szCs w:val="21"/>
                <w:highlight w:val="none"/>
              </w:rPr>
            </w:pPr>
          </w:p>
        </w:tc>
        <w:tc>
          <w:tcPr>
            <w:tcW w:w="516" w:type="dxa"/>
            <w:vMerge w:val="continue"/>
            <w:vAlign w:val="center"/>
          </w:tcPr>
          <w:p w14:paraId="29F5DAE5">
            <w:pPr>
              <w:pStyle w:val="5"/>
              <w:rPr>
                <w:rFonts w:hint="default" w:ascii="Times New Roman" w:hAnsi="Times New Roman" w:cs="Times New Roman"/>
                <w:color w:val="auto"/>
                <w:sz w:val="21"/>
                <w:szCs w:val="21"/>
                <w:highlight w:val="none"/>
              </w:rPr>
            </w:pPr>
          </w:p>
        </w:tc>
        <w:tc>
          <w:tcPr>
            <w:tcW w:w="905" w:type="dxa"/>
            <w:vMerge w:val="continue"/>
            <w:vAlign w:val="center"/>
          </w:tcPr>
          <w:p w14:paraId="23847540">
            <w:pPr>
              <w:pStyle w:val="5"/>
              <w:rPr>
                <w:rFonts w:hint="default" w:ascii="Times New Roman" w:hAnsi="Times New Roman" w:cs="Times New Roman"/>
                <w:color w:val="auto"/>
                <w:sz w:val="21"/>
                <w:szCs w:val="21"/>
                <w:highlight w:val="none"/>
              </w:rPr>
            </w:pPr>
          </w:p>
        </w:tc>
        <w:tc>
          <w:tcPr>
            <w:tcW w:w="1421" w:type="dxa"/>
            <w:gridSpan w:val="2"/>
            <w:tcBorders>
              <w:right w:val="single" w:color="auto" w:sz="4" w:space="0"/>
            </w:tcBorders>
            <w:vAlign w:val="center"/>
          </w:tcPr>
          <w:p w14:paraId="036B05D2">
            <w:pPr>
              <w:pStyle w:val="5"/>
              <w:spacing w:line="300" w:lineRule="exact"/>
              <w:rPr>
                <w:rFonts w:hint="default" w:ascii="Times New Roman" w:hAnsi="Times New Roman" w:cs="Times New Roman"/>
                <w:color w:val="auto"/>
                <w:sz w:val="21"/>
                <w:szCs w:val="21"/>
                <w:highlight w:val="none"/>
              </w:rPr>
            </w:pPr>
            <w:r>
              <w:rPr>
                <w:rFonts w:hint="eastAsia" w:ascii="Times New Roman" w:hAnsi="Times New Roman" w:cs="Times New Roman"/>
                <w:color w:val="auto"/>
                <w:kern w:val="0"/>
                <w:szCs w:val="21"/>
                <w:highlight w:val="none"/>
                <w:lang w:eastAsia="zh-CN"/>
              </w:rPr>
              <w:t>路面</w:t>
            </w:r>
            <w:r>
              <w:rPr>
                <w:rFonts w:hint="default" w:ascii="Times New Roman" w:hAnsi="Times New Roman" w:cs="Times New Roman"/>
                <w:color w:val="auto"/>
                <w:kern w:val="0"/>
                <w:szCs w:val="21"/>
                <w:highlight w:val="none"/>
              </w:rPr>
              <w:t>检测技术负责人</w:t>
            </w:r>
          </w:p>
        </w:tc>
        <w:tc>
          <w:tcPr>
            <w:tcW w:w="702" w:type="dxa"/>
            <w:tcBorders>
              <w:left w:val="single" w:color="auto" w:sz="4" w:space="0"/>
              <w:right w:val="single" w:color="auto" w:sz="4" w:space="0"/>
            </w:tcBorders>
            <w:vAlign w:val="center"/>
          </w:tcPr>
          <w:p w14:paraId="45B82A35">
            <w:pPr>
              <w:pStyle w:val="5"/>
              <w:spacing w:line="300" w:lineRule="exact"/>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4分</w:t>
            </w:r>
          </w:p>
        </w:tc>
        <w:tc>
          <w:tcPr>
            <w:tcW w:w="4677" w:type="dxa"/>
            <w:tcBorders>
              <w:left w:val="single" w:color="auto" w:sz="4" w:space="0"/>
            </w:tcBorders>
            <w:vAlign w:val="center"/>
          </w:tcPr>
          <w:p w14:paraId="49D22C0D">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eastAsia="zh-CN"/>
              </w:rPr>
              <w:t>路面检测技术</w:t>
            </w:r>
            <w:r>
              <w:rPr>
                <w:rFonts w:hint="default" w:ascii="Times New Roman" w:hAnsi="Times New Roman" w:cs="Times New Roman"/>
                <w:color w:val="auto"/>
                <w:sz w:val="21"/>
                <w:szCs w:val="21"/>
                <w:highlight w:val="none"/>
              </w:rPr>
              <w:t>负责人满足资格审查条件（项目负责人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中路面检测技术负责人最低要求，</w:t>
            </w:r>
            <w:r>
              <w:rPr>
                <w:rFonts w:hint="default" w:ascii="Times New Roman" w:hAnsi="Times New Roman" w:cs="Times New Roman"/>
                <w:color w:val="auto"/>
                <w:sz w:val="21"/>
                <w:szCs w:val="21"/>
                <w:highlight w:val="none"/>
              </w:rPr>
              <w:t>得</w:t>
            </w:r>
            <w:r>
              <w:rPr>
                <w:rFonts w:hint="eastAsia"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分。</w:t>
            </w:r>
          </w:p>
          <w:p w14:paraId="330653B0">
            <w:pPr>
              <w:pStyle w:val="5"/>
              <w:spacing w:line="300" w:lineRule="exact"/>
              <w:jc w:val="left"/>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sz w:val="21"/>
                <w:szCs w:val="21"/>
                <w:highlight w:val="none"/>
                <w:lang w:eastAsia="zh-CN"/>
              </w:rPr>
              <w:t>路面检测技术</w:t>
            </w:r>
            <w:r>
              <w:rPr>
                <w:rFonts w:hint="default" w:ascii="Times New Roman" w:hAnsi="Times New Roman" w:cs="Times New Roman"/>
                <w:color w:val="auto"/>
                <w:sz w:val="21"/>
                <w:szCs w:val="21"/>
                <w:highlight w:val="none"/>
              </w:rPr>
              <w:t>负责人每增加1项满足资格审查条件（项目负责人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中路面检测技术负责人</w:t>
            </w:r>
            <w:r>
              <w:rPr>
                <w:rFonts w:hint="default" w:ascii="Times New Roman" w:hAnsi="Times New Roman" w:cs="Times New Roman"/>
                <w:color w:val="auto"/>
                <w:sz w:val="21"/>
                <w:szCs w:val="21"/>
                <w:highlight w:val="none"/>
              </w:rPr>
              <w:t>的业绩加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分，最多加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w:t>
            </w:r>
          </w:p>
        </w:tc>
      </w:tr>
      <w:tr w14:paraId="40AAA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trPr>
        <w:tc>
          <w:tcPr>
            <w:tcW w:w="977" w:type="dxa"/>
            <w:vMerge w:val="continue"/>
            <w:vAlign w:val="center"/>
          </w:tcPr>
          <w:p w14:paraId="571128CF">
            <w:pPr>
              <w:pStyle w:val="5"/>
              <w:rPr>
                <w:rFonts w:hint="default" w:ascii="Times New Roman" w:hAnsi="Times New Roman" w:cs="Times New Roman"/>
                <w:color w:val="auto"/>
                <w:sz w:val="21"/>
                <w:szCs w:val="21"/>
                <w:highlight w:val="none"/>
              </w:rPr>
            </w:pPr>
          </w:p>
        </w:tc>
        <w:tc>
          <w:tcPr>
            <w:tcW w:w="516" w:type="dxa"/>
            <w:vMerge w:val="continue"/>
            <w:vAlign w:val="center"/>
          </w:tcPr>
          <w:p w14:paraId="4719A287">
            <w:pPr>
              <w:pStyle w:val="5"/>
              <w:rPr>
                <w:rFonts w:hint="default" w:ascii="Times New Roman" w:hAnsi="Times New Roman" w:cs="Times New Roman"/>
                <w:color w:val="auto"/>
                <w:sz w:val="21"/>
                <w:szCs w:val="21"/>
                <w:highlight w:val="none"/>
              </w:rPr>
            </w:pPr>
          </w:p>
        </w:tc>
        <w:tc>
          <w:tcPr>
            <w:tcW w:w="905" w:type="dxa"/>
            <w:vMerge w:val="continue"/>
            <w:vAlign w:val="center"/>
          </w:tcPr>
          <w:p w14:paraId="08D2C8DD">
            <w:pPr>
              <w:pStyle w:val="5"/>
              <w:rPr>
                <w:rFonts w:hint="default" w:ascii="Times New Roman" w:hAnsi="Times New Roman" w:cs="Times New Roman"/>
                <w:color w:val="auto"/>
                <w:sz w:val="21"/>
                <w:szCs w:val="21"/>
                <w:highlight w:val="none"/>
              </w:rPr>
            </w:pPr>
          </w:p>
        </w:tc>
        <w:tc>
          <w:tcPr>
            <w:tcW w:w="1421" w:type="dxa"/>
            <w:gridSpan w:val="2"/>
            <w:tcBorders>
              <w:right w:val="single" w:color="auto" w:sz="4" w:space="0"/>
            </w:tcBorders>
            <w:vAlign w:val="center"/>
          </w:tcPr>
          <w:p w14:paraId="6C2F581D">
            <w:pPr>
              <w:pStyle w:val="5"/>
              <w:spacing w:line="300" w:lineRule="exact"/>
              <w:rPr>
                <w:rFonts w:hint="default" w:ascii="Times New Roman" w:hAnsi="Times New Roman" w:cs="Times New Roman"/>
                <w:color w:val="auto"/>
                <w:sz w:val="21"/>
                <w:szCs w:val="21"/>
                <w:highlight w:val="none"/>
              </w:rPr>
            </w:pPr>
            <w:r>
              <w:rPr>
                <w:rFonts w:hint="eastAsia" w:ascii="Times New Roman" w:hAnsi="Times New Roman" w:cs="Times New Roman"/>
                <w:color w:val="auto"/>
                <w:szCs w:val="21"/>
                <w:highlight w:val="none"/>
                <w:lang w:eastAsia="zh-CN"/>
              </w:rPr>
              <w:t>桥隧检测技术负责人</w:t>
            </w:r>
          </w:p>
        </w:tc>
        <w:tc>
          <w:tcPr>
            <w:tcW w:w="702" w:type="dxa"/>
            <w:tcBorders>
              <w:left w:val="single" w:color="auto" w:sz="4" w:space="0"/>
              <w:right w:val="single" w:color="auto" w:sz="4" w:space="0"/>
            </w:tcBorders>
            <w:vAlign w:val="center"/>
          </w:tcPr>
          <w:p w14:paraId="5CD65FAC">
            <w:pPr>
              <w:pStyle w:val="5"/>
              <w:spacing w:line="300" w:lineRule="exact"/>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rPr>
              <w:t>4分</w:t>
            </w:r>
          </w:p>
        </w:tc>
        <w:tc>
          <w:tcPr>
            <w:tcW w:w="4677" w:type="dxa"/>
            <w:tcBorders>
              <w:left w:val="single" w:color="auto" w:sz="4" w:space="0"/>
            </w:tcBorders>
            <w:vAlign w:val="center"/>
          </w:tcPr>
          <w:p w14:paraId="50285826">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eastAsia="zh-CN"/>
              </w:rPr>
              <w:t>桥隧检测技术</w:t>
            </w:r>
            <w:r>
              <w:rPr>
                <w:rFonts w:hint="default" w:ascii="Times New Roman" w:hAnsi="Times New Roman" w:cs="Times New Roman"/>
                <w:color w:val="auto"/>
                <w:sz w:val="21"/>
                <w:szCs w:val="21"/>
                <w:highlight w:val="none"/>
              </w:rPr>
              <w:t>负责人满足资格审查条件（项目负责人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中桥隧检测技术负责人最低要求，</w:t>
            </w:r>
            <w:r>
              <w:rPr>
                <w:rFonts w:hint="default" w:ascii="Times New Roman" w:hAnsi="Times New Roman" w:cs="Times New Roman"/>
                <w:color w:val="auto"/>
                <w:sz w:val="21"/>
                <w:szCs w:val="21"/>
                <w:highlight w:val="none"/>
              </w:rPr>
              <w:t>得</w:t>
            </w:r>
            <w:r>
              <w:rPr>
                <w:rFonts w:hint="eastAsia"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分。</w:t>
            </w:r>
          </w:p>
          <w:p w14:paraId="749EC1F1">
            <w:pPr>
              <w:pStyle w:val="5"/>
              <w:spacing w:line="300" w:lineRule="exact"/>
              <w:jc w:val="left"/>
              <w:rPr>
                <w:rFonts w:hint="default" w:ascii="Times New Roman" w:hAnsi="Times New Roman" w:cs="Times New Roman"/>
                <w:color w:val="auto"/>
                <w:kern w:val="2"/>
                <w:sz w:val="21"/>
                <w:szCs w:val="21"/>
                <w:highlight w:val="none"/>
              </w:rPr>
            </w:pPr>
            <w:r>
              <w:rPr>
                <w:rFonts w:hint="eastAsia" w:ascii="Times New Roman" w:hAnsi="Times New Roman" w:cs="Times New Roman"/>
                <w:color w:val="auto"/>
                <w:sz w:val="21"/>
                <w:szCs w:val="21"/>
                <w:highlight w:val="none"/>
                <w:lang w:eastAsia="zh-CN"/>
              </w:rPr>
              <w:t>桥隧检测技术</w:t>
            </w:r>
            <w:r>
              <w:rPr>
                <w:rFonts w:hint="default" w:ascii="Times New Roman" w:hAnsi="Times New Roman" w:cs="Times New Roman"/>
                <w:color w:val="auto"/>
                <w:sz w:val="21"/>
                <w:szCs w:val="21"/>
                <w:highlight w:val="none"/>
              </w:rPr>
              <w:t>负责人每增加1项满足资格审查条件（项目负责人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中桥隧检测技术负责人</w:t>
            </w:r>
            <w:r>
              <w:rPr>
                <w:rFonts w:hint="default" w:ascii="Times New Roman" w:hAnsi="Times New Roman" w:cs="Times New Roman"/>
                <w:color w:val="auto"/>
                <w:sz w:val="21"/>
                <w:szCs w:val="21"/>
                <w:highlight w:val="none"/>
              </w:rPr>
              <w:t>的业绩加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分，最多加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w:t>
            </w:r>
          </w:p>
        </w:tc>
      </w:tr>
      <w:tr w14:paraId="6E41C0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trPr>
        <w:tc>
          <w:tcPr>
            <w:tcW w:w="977" w:type="dxa"/>
            <w:vMerge w:val="continue"/>
            <w:vAlign w:val="center"/>
          </w:tcPr>
          <w:p w14:paraId="20D1BBA4">
            <w:pPr>
              <w:pStyle w:val="5"/>
              <w:rPr>
                <w:rFonts w:hint="default" w:ascii="Times New Roman" w:hAnsi="Times New Roman" w:cs="Times New Roman"/>
                <w:color w:val="auto"/>
                <w:sz w:val="21"/>
                <w:szCs w:val="21"/>
                <w:highlight w:val="none"/>
              </w:rPr>
            </w:pPr>
          </w:p>
        </w:tc>
        <w:tc>
          <w:tcPr>
            <w:tcW w:w="516" w:type="dxa"/>
            <w:vMerge w:val="continue"/>
            <w:vAlign w:val="center"/>
          </w:tcPr>
          <w:p w14:paraId="1EA556AD">
            <w:pPr>
              <w:pStyle w:val="5"/>
              <w:rPr>
                <w:rFonts w:hint="default" w:ascii="Times New Roman" w:hAnsi="Times New Roman" w:cs="Times New Roman"/>
                <w:color w:val="auto"/>
                <w:sz w:val="21"/>
                <w:szCs w:val="21"/>
                <w:highlight w:val="none"/>
              </w:rPr>
            </w:pPr>
          </w:p>
        </w:tc>
        <w:tc>
          <w:tcPr>
            <w:tcW w:w="905" w:type="dxa"/>
            <w:vMerge w:val="continue"/>
            <w:vAlign w:val="center"/>
          </w:tcPr>
          <w:p w14:paraId="239652B3">
            <w:pPr>
              <w:pStyle w:val="5"/>
              <w:rPr>
                <w:rFonts w:hint="default" w:ascii="Times New Roman" w:hAnsi="Times New Roman" w:cs="Times New Roman"/>
                <w:color w:val="auto"/>
                <w:sz w:val="21"/>
                <w:szCs w:val="21"/>
                <w:highlight w:val="none"/>
              </w:rPr>
            </w:pPr>
          </w:p>
        </w:tc>
        <w:tc>
          <w:tcPr>
            <w:tcW w:w="1421" w:type="dxa"/>
            <w:gridSpan w:val="2"/>
            <w:tcBorders>
              <w:right w:val="single" w:color="auto" w:sz="4" w:space="0"/>
            </w:tcBorders>
            <w:shd w:val="clear" w:color="auto" w:fill="auto"/>
            <w:vAlign w:val="center"/>
          </w:tcPr>
          <w:p w14:paraId="0423E972">
            <w:pPr>
              <w:pStyle w:val="5"/>
              <w:spacing w:line="300" w:lineRule="exact"/>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Cs w:val="21"/>
                <w:highlight w:val="none"/>
                <w:lang w:eastAsia="zh-CN"/>
              </w:rPr>
              <w:t>交安检测技术负责人</w:t>
            </w:r>
          </w:p>
        </w:tc>
        <w:tc>
          <w:tcPr>
            <w:tcW w:w="702" w:type="dxa"/>
            <w:tcBorders>
              <w:left w:val="single" w:color="auto" w:sz="4" w:space="0"/>
              <w:right w:val="single" w:color="auto" w:sz="4" w:space="0"/>
            </w:tcBorders>
            <w:shd w:val="clear" w:color="auto" w:fill="auto"/>
            <w:vAlign w:val="center"/>
          </w:tcPr>
          <w:p w14:paraId="5488A7D4">
            <w:pPr>
              <w:pStyle w:val="5"/>
              <w:spacing w:line="300" w:lineRule="exac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rPr>
              <w:t>4分</w:t>
            </w:r>
          </w:p>
        </w:tc>
        <w:tc>
          <w:tcPr>
            <w:tcW w:w="4677" w:type="dxa"/>
            <w:tcBorders>
              <w:left w:val="single" w:color="auto" w:sz="4" w:space="0"/>
            </w:tcBorders>
            <w:shd w:val="clear" w:color="auto" w:fill="auto"/>
            <w:vAlign w:val="center"/>
          </w:tcPr>
          <w:p w14:paraId="3433A1E0">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eastAsia="zh-CN"/>
              </w:rPr>
              <w:t>交安检测技术</w:t>
            </w:r>
            <w:r>
              <w:rPr>
                <w:rFonts w:hint="default" w:ascii="Times New Roman" w:hAnsi="Times New Roman" w:cs="Times New Roman"/>
                <w:color w:val="auto"/>
                <w:sz w:val="21"/>
                <w:szCs w:val="21"/>
                <w:highlight w:val="none"/>
              </w:rPr>
              <w:t>负责人满足资格审查条件（项目负责人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中交安检测技术负责人最低要求，</w:t>
            </w:r>
            <w:r>
              <w:rPr>
                <w:rFonts w:hint="default" w:ascii="Times New Roman" w:hAnsi="Times New Roman" w:cs="Times New Roman"/>
                <w:color w:val="auto"/>
                <w:sz w:val="21"/>
                <w:szCs w:val="21"/>
                <w:highlight w:val="none"/>
              </w:rPr>
              <w:t>得</w:t>
            </w:r>
            <w:r>
              <w:rPr>
                <w:rFonts w:hint="eastAsia"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分。</w:t>
            </w:r>
          </w:p>
          <w:p w14:paraId="40FB5F87">
            <w:pPr>
              <w:pStyle w:val="5"/>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eastAsia="zh-CN"/>
              </w:rPr>
              <w:t>交安检测技术</w:t>
            </w:r>
            <w:r>
              <w:rPr>
                <w:rFonts w:hint="default" w:ascii="Times New Roman" w:hAnsi="Times New Roman" w:cs="Times New Roman"/>
                <w:color w:val="auto"/>
                <w:sz w:val="21"/>
                <w:szCs w:val="21"/>
                <w:highlight w:val="none"/>
              </w:rPr>
              <w:t>负责人每增加1项满足资格审查条件（项目负责人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中交安检测技术负责人</w:t>
            </w:r>
            <w:r>
              <w:rPr>
                <w:rFonts w:hint="default" w:ascii="Times New Roman" w:hAnsi="Times New Roman" w:cs="Times New Roman"/>
                <w:color w:val="auto"/>
                <w:sz w:val="21"/>
                <w:szCs w:val="21"/>
                <w:highlight w:val="none"/>
              </w:rPr>
              <w:t>的业绩加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分，最多加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w:t>
            </w:r>
          </w:p>
        </w:tc>
      </w:tr>
      <w:tr w14:paraId="77118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trPr>
        <w:tc>
          <w:tcPr>
            <w:tcW w:w="977" w:type="dxa"/>
            <w:vMerge w:val="continue"/>
            <w:vAlign w:val="center"/>
          </w:tcPr>
          <w:p w14:paraId="2CEC83C6">
            <w:pPr>
              <w:pStyle w:val="5"/>
              <w:rPr>
                <w:rFonts w:hint="default" w:ascii="Times New Roman" w:hAnsi="Times New Roman" w:cs="Times New Roman"/>
                <w:color w:val="auto"/>
                <w:sz w:val="21"/>
                <w:szCs w:val="21"/>
                <w:highlight w:val="none"/>
              </w:rPr>
            </w:pPr>
          </w:p>
        </w:tc>
        <w:tc>
          <w:tcPr>
            <w:tcW w:w="516" w:type="dxa"/>
            <w:vMerge w:val="continue"/>
            <w:vAlign w:val="center"/>
          </w:tcPr>
          <w:p w14:paraId="06EA69B7">
            <w:pPr>
              <w:pStyle w:val="5"/>
              <w:rPr>
                <w:rFonts w:hint="default" w:ascii="Times New Roman" w:hAnsi="Times New Roman" w:cs="Times New Roman"/>
                <w:color w:val="auto"/>
                <w:sz w:val="21"/>
                <w:szCs w:val="21"/>
                <w:highlight w:val="none"/>
              </w:rPr>
            </w:pPr>
          </w:p>
        </w:tc>
        <w:tc>
          <w:tcPr>
            <w:tcW w:w="905" w:type="dxa"/>
            <w:vMerge w:val="continue"/>
            <w:vAlign w:val="center"/>
          </w:tcPr>
          <w:p w14:paraId="26D03F4D">
            <w:pPr>
              <w:pStyle w:val="5"/>
              <w:jc w:val="left"/>
              <w:rPr>
                <w:rFonts w:hint="default" w:ascii="Times New Roman" w:hAnsi="Times New Roman" w:cs="Times New Roman"/>
                <w:color w:val="auto"/>
                <w:sz w:val="21"/>
                <w:szCs w:val="21"/>
                <w:highlight w:val="none"/>
              </w:rPr>
            </w:pPr>
          </w:p>
        </w:tc>
        <w:tc>
          <w:tcPr>
            <w:tcW w:w="1421" w:type="dxa"/>
            <w:gridSpan w:val="2"/>
            <w:tcBorders>
              <w:right w:val="single" w:color="auto" w:sz="4" w:space="0"/>
            </w:tcBorders>
            <w:vAlign w:val="center"/>
          </w:tcPr>
          <w:p w14:paraId="1BE9827A">
            <w:pPr>
              <w:pStyle w:val="5"/>
              <w:spacing w:line="300" w:lineRule="exact"/>
              <w:rPr>
                <w:rFonts w:hint="default" w:ascii="Times New Roman" w:hAnsi="Times New Roman" w:cs="Times New Roman"/>
                <w:color w:val="auto"/>
                <w:sz w:val="21"/>
                <w:szCs w:val="21"/>
                <w:highlight w:val="none"/>
              </w:rPr>
            </w:pPr>
            <w:r>
              <w:rPr>
                <w:rFonts w:hint="eastAsia" w:ascii="Times New Roman" w:hAnsi="Times New Roman" w:cs="Times New Roman"/>
                <w:color w:val="auto"/>
                <w:szCs w:val="21"/>
                <w:highlight w:val="none"/>
                <w:lang w:eastAsia="zh-CN"/>
              </w:rPr>
              <w:t>路况数据处理与评定技术负责人</w:t>
            </w:r>
          </w:p>
        </w:tc>
        <w:tc>
          <w:tcPr>
            <w:tcW w:w="702" w:type="dxa"/>
            <w:tcBorders>
              <w:left w:val="single" w:color="auto" w:sz="4" w:space="0"/>
              <w:right w:val="single" w:color="auto" w:sz="4" w:space="0"/>
            </w:tcBorders>
            <w:vAlign w:val="center"/>
          </w:tcPr>
          <w:p w14:paraId="1BE8A365">
            <w:pPr>
              <w:pStyle w:val="5"/>
              <w:spacing w:line="300" w:lineRule="exact"/>
              <w:rPr>
                <w:rFonts w:hint="default" w:ascii="Times New Roman" w:hAnsi="Times New Roman" w:cs="Times New Roman"/>
                <w:color w:val="auto"/>
                <w:sz w:val="21"/>
                <w:szCs w:val="21"/>
                <w:highlight w:val="none"/>
              </w:rPr>
            </w:pPr>
            <w:r>
              <w:rPr>
                <w:rFonts w:hint="eastAsia" w:ascii="Times New Roman" w:hAnsi="Times New Roman" w:cs="Times New Roman"/>
                <w:color w:val="auto"/>
                <w:kern w:val="2"/>
                <w:sz w:val="21"/>
                <w:szCs w:val="21"/>
                <w:highlight w:val="none"/>
                <w:lang w:val="en-US" w:eastAsia="zh-CN"/>
              </w:rPr>
              <w:t>4</w:t>
            </w:r>
            <w:r>
              <w:rPr>
                <w:rFonts w:hint="default" w:ascii="Times New Roman" w:hAnsi="Times New Roman" w:cs="Times New Roman"/>
                <w:color w:val="auto"/>
                <w:kern w:val="2"/>
                <w:sz w:val="21"/>
                <w:szCs w:val="21"/>
                <w:highlight w:val="none"/>
              </w:rPr>
              <w:t>分</w:t>
            </w:r>
          </w:p>
        </w:tc>
        <w:tc>
          <w:tcPr>
            <w:tcW w:w="4677" w:type="dxa"/>
            <w:tcBorders>
              <w:left w:val="single" w:color="auto" w:sz="4" w:space="0"/>
            </w:tcBorders>
            <w:vAlign w:val="center"/>
          </w:tcPr>
          <w:p w14:paraId="2DC801C0">
            <w:pPr>
              <w:pStyle w:val="5"/>
              <w:adjustRightInd w:val="0"/>
              <w:snapToGrid w:val="0"/>
              <w:spacing w:line="320" w:lineRule="exact"/>
              <w:jc w:val="left"/>
              <w:rPr>
                <w:rFonts w:hint="default" w:ascii="Times New Roman" w:hAnsi="Times New Roman" w:cs="Times New Roman"/>
                <w:color w:val="auto"/>
                <w:sz w:val="21"/>
                <w:szCs w:val="21"/>
                <w:highlight w:val="none"/>
              </w:rPr>
            </w:pPr>
            <w:r>
              <w:rPr>
                <w:rFonts w:hint="eastAsia" w:ascii="Times New Roman" w:hAnsi="Times New Roman" w:cs="Times New Roman"/>
                <w:color w:val="auto"/>
                <w:szCs w:val="21"/>
                <w:highlight w:val="none"/>
                <w:lang w:eastAsia="zh-CN"/>
              </w:rPr>
              <w:t>路况数据处理与评定技术负责人</w:t>
            </w:r>
            <w:r>
              <w:rPr>
                <w:rFonts w:hint="default" w:ascii="Times New Roman" w:hAnsi="Times New Roman" w:cs="Times New Roman"/>
                <w:color w:val="auto"/>
                <w:sz w:val="21"/>
                <w:szCs w:val="21"/>
                <w:highlight w:val="none"/>
              </w:rPr>
              <w:t>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w:t>
            </w:r>
            <w:r>
              <w:rPr>
                <w:rFonts w:hint="eastAsia" w:ascii="Times New Roman" w:hAnsi="Times New Roman" w:cs="Times New Roman"/>
                <w:color w:val="auto"/>
                <w:szCs w:val="21"/>
                <w:highlight w:val="none"/>
                <w:lang w:eastAsia="zh-CN"/>
              </w:rPr>
              <w:t>路况数据处理与评定技术负责人</w:t>
            </w:r>
            <w:r>
              <w:rPr>
                <w:rFonts w:hint="eastAsia" w:ascii="Times New Roman" w:hAnsi="Times New Roman" w:cs="Times New Roman"/>
                <w:color w:val="auto"/>
                <w:sz w:val="21"/>
                <w:szCs w:val="21"/>
                <w:highlight w:val="none"/>
                <w:lang w:eastAsia="zh-CN"/>
              </w:rPr>
              <w:t>最低要求，</w:t>
            </w:r>
            <w:r>
              <w:rPr>
                <w:rFonts w:hint="default" w:ascii="Times New Roman" w:hAnsi="Times New Roman" w:cs="Times New Roman"/>
                <w:color w:val="auto"/>
                <w:sz w:val="21"/>
                <w:szCs w:val="21"/>
                <w:highlight w:val="none"/>
              </w:rPr>
              <w:t>得</w:t>
            </w:r>
            <w:r>
              <w:rPr>
                <w:rFonts w:hint="eastAsia"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分。</w:t>
            </w:r>
          </w:p>
          <w:p w14:paraId="4F5AF3E5">
            <w:pPr>
              <w:pStyle w:val="5"/>
              <w:spacing w:line="300" w:lineRule="exact"/>
              <w:jc w:val="left"/>
              <w:rPr>
                <w:rFonts w:hint="default" w:ascii="Times New Roman" w:hAnsi="Times New Roman" w:cs="Times New Roman"/>
                <w:color w:val="auto"/>
                <w:sz w:val="21"/>
                <w:szCs w:val="21"/>
                <w:highlight w:val="none"/>
              </w:rPr>
            </w:pPr>
            <w:r>
              <w:rPr>
                <w:rFonts w:hint="eastAsia" w:ascii="Times New Roman" w:hAnsi="Times New Roman" w:cs="Times New Roman"/>
                <w:color w:val="auto"/>
                <w:szCs w:val="21"/>
                <w:highlight w:val="none"/>
                <w:lang w:eastAsia="zh-CN"/>
              </w:rPr>
              <w:t>路况数据处理与评定技术负责人</w:t>
            </w:r>
            <w:r>
              <w:rPr>
                <w:rFonts w:hint="default" w:ascii="Times New Roman" w:hAnsi="Times New Roman" w:cs="Times New Roman"/>
                <w:color w:val="auto"/>
                <w:sz w:val="21"/>
                <w:szCs w:val="21"/>
                <w:highlight w:val="none"/>
              </w:rPr>
              <w:t>每增加1项满足资格审查条件（项目负责人</w:t>
            </w:r>
            <w:r>
              <w:rPr>
                <w:rFonts w:hint="eastAsia" w:ascii="Times New Roman" w:hAnsi="Times New Roman" w:cs="Times New Roman"/>
                <w:color w:val="auto"/>
                <w:sz w:val="21"/>
                <w:szCs w:val="21"/>
                <w:highlight w:val="none"/>
                <w:lang w:eastAsia="zh-CN"/>
              </w:rPr>
              <w:t>和技术负责人</w:t>
            </w:r>
            <w:r>
              <w:rPr>
                <w:rFonts w:hint="default" w:ascii="Times New Roman" w:hAnsi="Times New Roman" w:cs="Times New Roman"/>
                <w:color w:val="auto"/>
                <w:sz w:val="21"/>
                <w:szCs w:val="21"/>
                <w:highlight w:val="none"/>
              </w:rPr>
              <w:t>最低要求）</w:t>
            </w:r>
            <w:r>
              <w:rPr>
                <w:rFonts w:hint="eastAsia" w:ascii="Times New Roman" w:hAnsi="Times New Roman" w:cs="Times New Roman"/>
                <w:color w:val="auto"/>
                <w:sz w:val="21"/>
                <w:szCs w:val="21"/>
                <w:highlight w:val="none"/>
                <w:lang w:eastAsia="zh-CN"/>
              </w:rPr>
              <w:t>中</w:t>
            </w:r>
            <w:r>
              <w:rPr>
                <w:rFonts w:hint="eastAsia" w:ascii="Times New Roman" w:hAnsi="Times New Roman" w:cs="Times New Roman"/>
                <w:color w:val="auto"/>
                <w:szCs w:val="21"/>
                <w:highlight w:val="none"/>
                <w:lang w:eastAsia="zh-CN"/>
              </w:rPr>
              <w:t>路况数据处理与评定技术负责人</w:t>
            </w:r>
            <w:r>
              <w:rPr>
                <w:rFonts w:hint="default" w:ascii="Times New Roman" w:hAnsi="Times New Roman" w:cs="Times New Roman"/>
                <w:color w:val="auto"/>
                <w:sz w:val="21"/>
                <w:szCs w:val="21"/>
                <w:highlight w:val="none"/>
              </w:rPr>
              <w:t>的业绩加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分，最多加</w:t>
            </w:r>
            <w:r>
              <w:rPr>
                <w:rFonts w:hint="eastAsia" w:ascii="Times New Roman" w:hAnsi="Times New Roman"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分。</w:t>
            </w:r>
          </w:p>
        </w:tc>
      </w:tr>
      <w:tr w14:paraId="6C52C2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134" w:hRule="exact"/>
        </w:trPr>
        <w:tc>
          <w:tcPr>
            <w:tcW w:w="977" w:type="dxa"/>
            <w:tcBorders>
              <w:top w:val="single" w:color="auto" w:sz="4" w:space="0"/>
            </w:tcBorders>
            <w:vAlign w:val="center"/>
          </w:tcPr>
          <w:p w14:paraId="361F5623">
            <w:pPr>
              <w:pStyle w:val="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2.2.4（3）</w:t>
            </w:r>
          </w:p>
        </w:tc>
        <w:tc>
          <w:tcPr>
            <w:tcW w:w="516" w:type="dxa"/>
            <w:tcBorders>
              <w:top w:val="single" w:color="auto" w:sz="4" w:space="0"/>
            </w:tcBorders>
            <w:vAlign w:val="center"/>
          </w:tcPr>
          <w:p w14:paraId="74234C71">
            <w:pPr>
              <w:pStyle w:val="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评标价</w:t>
            </w:r>
          </w:p>
        </w:tc>
        <w:tc>
          <w:tcPr>
            <w:tcW w:w="905" w:type="dxa"/>
            <w:tcBorders>
              <w:top w:val="single" w:color="auto" w:sz="4" w:space="0"/>
            </w:tcBorders>
            <w:vAlign w:val="center"/>
          </w:tcPr>
          <w:p w14:paraId="65D50663">
            <w:pPr>
              <w:pStyle w:val="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10分</w:t>
            </w:r>
          </w:p>
        </w:tc>
        <w:tc>
          <w:tcPr>
            <w:tcW w:w="6800" w:type="dxa"/>
            <w:gridSpan w:val="4"/>
            <w:vAlign w:val="center"/>
          </w:tcPr>
          <w:p w14:paraId="68389C7D">
            <w:pPr>
              <w:pStyle w:val="5"/>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评标价得分计算公式：</w:t>
            </w:r>
          </w:p>
          <w:p w14:paraId="0B0C0BC8">
            <w:pPr>
              <w:pStyle w:val="5"/>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（1）如果投标人的评标价＞评标基准价，则评标价得分=F-100%×（投标人评标价-评标基准价）／评标基准价×100×E1；</w:t>
            </w:r>
          </w:p>
          <w:p w14:paraId="1E17D7E8">
            <w:pPr>
              <w:pStyle w:val="5"/>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（2）如果投标人的评标价</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rPr>
              <w:t>评标基准价，则评标价得分=F+100%×（投标人评标价-评标基准价）／评标基准价×100×E2。</w:t>
            </w:r>
          </w:p>
          <w:p w14:paraId="7B23D10B">
            <w:pPr>
              <w:pStyle w:val="5"/>
              <w:jc w:val="left"/>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其中，F=10；E1=0.2；E2=0.1；评标价最低得分为0分。</w:t>
            </w:r>
          </w:p>
        </w:tc>
      </w:tr>
      <w:tr w14:paraId="73F4B2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8" w:hRule="atLeast"/>
        </w:trPr>
        <w:tc>
          <w:tcPr>
            <w:tcW w:w="977" w:type="dxa"/>
            <w:vMerge w:val="restart"/>
            <w:vAlign w:val="center"/>
          </w:tcPr>
          <w:p w14:paraId="65A2FC26">
            <w:pPr>
              <w:autoSpaceDE w:val="0"/>
              <w:autoSpaceDN w:val="0"/>
              <w:snapToGrid w:val="0"/>
              <w:ind w:right="-105"/>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2.2.4</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4</w:t>
            </w:r>
            <w:r>
              <w:rPr>
                <w:rFonts w:hint="eastAsia" w:ascii="Times New Roman" w:hAnsi="Times New Roman" w:cs="Times New Roman"/>
                <w:color w:val="auto"/>
                <w:highlight w:val="none"/>
                <w:lang w:eastAsia="zh-CN"/>
              </w:rPr>
              <w:t>）</w:t>
            </w:r>
          </w:p>
        </w:tc>
        <w:tc>
          <w:tcPr>
            <w:tcW w:w="516" w:type="dxa"/>
            <w:vMerge w:val="restart"/>
            <w:vAlign w:val="center"/>
          </w:tcPr>
          <w:p w14:paraId="09DC26E7">
            <w:pPr>
              <w:autoSpaceDE w:val="0"/>
              <w:autoSpaceDN w:val="0"/>
              <w:snapToGrid w:val="0"/>
              <w:ind w:right="-105"/>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业绩20分</w:t>
            </w:r>
          </w:p>
        </w:tc>
        <w:tc>
          <w:tcPr>
            <w:tcW w:w="7705" w:type="dxa"/>
            <w:gridSpan w:val="5"/>
            <w:tcBorders>
              <w:bottom w:val="single" w:color="auto" w:sz="4" w:space="0"/>
            </w:tcBorders>
            <w:vAlign w:val="center"/>
          </w:tcPr>
          <w:p w14:paraId="6E5E221E">
            <w:pPr>
              <w:pStyle w:val="5"/>
              <w:spacing w:line="300" w:lineRule="exact"/>
              <w:jc w:val="both"/>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满足附录2资格审查条件（业绩最低要求）得12分。</w:t>
            </w:r>
          </w:p>
        </w:tc>
      </w:tr>
      <w:tr w14:paraId="6100F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8" w:hRule="atLeast"/>
        </w:trPr>
        <w:tc>
          <w:tcPr>
            <w:tcW w:w="977" w:type="dxa"/>
            <w:vMerge w:val="continue"/>
            <w:vAlign w:val="center"/>
          </w:tcPr>
          <w:p w14:paraId="63A6549F">
            <w:pPr>
              <w:autoSpaceDE w:val="0"/>
              <w:autoSpaceDN w:val="0"/>
              <w:snapToGrid w:val="0"/>
              <w:ind w:right="-105"/>
              <w:jc w:val="center"/>
              <w:rPr>
                <w:rFonts w:hint="default" w:ascii="Times New Roman" w:hAnsi="Times New Roman" w:cs="Times New Roman"/>
                <w:color w:val="auto"/>
                <w:highlight w:val="none"/>
              </w:rPr>
            </w:pPr>
          </w:p>
        </w:tc>
        <w:tc>
          <w:tcPr>
            <w:tcW w:w="516" w:type="dxa"/>
            <w:vMerge w:val="continue"/>
            <w:vAlign w:val="center"/>
          </w:tcPr>
          <w:p w14:paraId="541DDB85">
            <w:pPr>
              <w:autoSpaceDE w:val="0"/>
              <w:autoSpaceDN w:val="0"/>
              <w:snapToGrid w:val="0"/>
              <w:ind w:right="-105"/>
              <w:jc w:val="center"/>
              <w:rPr>
                <w:rFonts w:hint="default" w:ascii="Times New Roman" w:hAnsi="Times New Roman" w:cs="Times New Roman"/>
                <w:color w:val="auto"/>
                <w:kern w:val="0"/>
                <w:szCs w:val="21"/>
                <w:highlight w:val="none"/>
              </w:rPr>
            </w:pPr>
          </w:p>
        </w:tc>
        <w:tc>
          <w:tcPr>
            <w:tcW w:w="7705" w:type="dxa"/>
            <w:gridSpan w:val="5"/>
            <w:vAlign w:val="center"/>
          </w:tcPr>
          <w:p w14:paraId="353655B1">
            <w:pPr>
              <w:pStyle w:val="5"/>
              <w:spacing w:line="300" w:lineRule="exact"/>
              <w:jc w:val="both"/>
              <w:rPr>
                <w:rFonts w:hint="eastAsia" w:ascii="Times New Roman" w:hAnsi="Times New Roman" w:eastAsia="宋体" w:cs="Times New Roman"/>
                <w:color w:val="auto"/>
                <w:kern w:val="2"/>
                <w:sz w:val="21"/>
                <w:szCs w:val="21"/>
                <w:highlight w:val="none"/>
                <w:lang w:eastAsia="zh-CN"/>
              </w:rPr>
            </w:pPr>
            <w:r>
              <w:rPr>
                <w:rFonts w:hint="default" w:ascii="Times New Roman" w:hAnsi="Times New Roman" w:cs="Times New Roman"/>
                <w:color w:val="auto"/>
                <w:kern w:val="2"/>
                <w:sz w:val="21"/>
                <w:szCs w:val="21"/>
                <w:highlight w:val="none"/>
              </w:rPr>
              <w:t>每增加一项满足附录2资格审查条件（业绩最低要求）</w:t>
            </w:r>
            <w:r>
              <w:rPr>
                <w:rFonts w:hint="eastAsia" w:ascii="Times New Roman" w:hAnsi="Times New Roman" w:cs="Times New Roman"/>
                <w:color w:val="auto"/>
                <w:kern w:val="2"/>
                <w:sz w:val="21"/>
                <w:szCs w:val="21"/>
                <w:highlight w:val="none"/>
                <w:lang w:eastAsia="zh-CN"/>
              </w:rPr>
              <w:t>中路面检测</w:t>
            </w:r>
            <w:r>
              <w:rPr>
                <w:rFonts w:hint="default" w:ascii="Times New Roman" w:hAnsi="Times New Roman" w:cs="Times New Roman"/>
                <w:color w:val="auto"/>
                <w:kern w:val="2"/>
                <w:sz w:val="21"/>
                <w:szCs w:val="21"/>
                <w:highlight w:val="none"/>
              </w:rPr>
              <w:t>业绩加</w:t>
            </w:r>
            <w:r>
              <w:rPr>
                <w:rFonts w:hint="eastAsia" w:ascii="Times New Roman" w:hAnsi="Times New Roman" w:cs="Times New Roman"/>
                <w:color w:val="auto"/>
                <w:kern w:val="2"/>
                <w:sz w:val="21"/>
                <w:szCs w:val="21"/>
                <w:highlight w:val="none"/>
                <w:lang w:val="en-US" w:eastAsia="zh-CN"/>
              </w:rPr>
              <w:t>1</w:t>
            </w:r>
            <w:r>
              <w:rPr>
                <w:rFonts w:hint="default" w:ascii="Times New Roman" w:hAnsi="Times New Roman" w:cs="Times New Roman"/>
                <w:color w:val="auto"/>
                <w:kern w:val="2"/>
                <w:sz w:val="21"/>
                <w:szCs w:val="21"/>
                <w:highlight w:val="none"/>
              </w:rPr>
              <w:t>分，本项最多加</w:t>
            </w:r>
            <w:r>
              <w:rPr>
                <w:rFonts w:hint="eastAsia" w:ascii="Times New Roman" w:hAnsi="Times New Roman" w:cs="Times New Roman"/>
                <w:color w:val="auto"/>
                <w:kern w:val="2"/>
                <w:sz w:val="21"/>
                <w:szCs w:val="21"/>
                <w:highlight w:val="none"/>
                <w:lang w:val="en-US" w:eastAsia="zh-CN"/>
              </w:rPr>
              <w:t>2</w:t>
            </w:r>
            <w:r>
              <w:rPr>
                <w:rFonts w:hint="default" w:ascii="Times New Roman" w:hAnsi="Times New Roman" w:cs="Times New Roman"/>
                <w:color w:val="auto"/>
                <w:kern w:val="2"/>
                <w:sz w:val="21"/>
                <w:szCs w:val="21"/>
                <w:highlight w:val="none"/>
              </w:rPr>
              <w:t>分</w:t>
            </w:r>
            <w:r>
              <w:rPr>
                <w:rFonts w:hint="eastAsia" w:ascii="Times New Roman" w:hAnsi="Times New Roman" w:cs="Times New Roman"/>
                <w:color w:val="auto"/>
                <w:kern w:val="2"/>
                <w:sz w:val="21"/>
                <w:szCs w:val="21"/>
                <w:highlight w:val="none"/>
                <w:lang w:eastAsia="zh-CN"/>
              </w:rPr>
              <w:t>。</w:t>
            </w:r>
          </w:p>
        </w:tc>
      </w:tr>
      <w:tr w14:paraId="36F32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2" w:hRule="atLeast"/>
        </w:trPr>
        <w:tc>
          <w:tcPr>
            <w:tcW w:w="977" w:type="dxa"/>
            <w:vMerge w:val="continue"/>
            <w:vAlign w:val="center"/>
          </w:tcPr>
          <w:p w14:paraId="20BB2CEF">
            <w:pPr>
              <w:autoSpaceDE w:val="0"/>
              <w:autoSpaceDN w:val="0"/>
              <w:snapToGrid w:val="0"/>
              <w:ind w:right="-105"/>
              <w:jc w:val="center"/>
              <w:rPr>
                <w:rFonts w:hint="default" w:ascii="Times New Roman" w:hAnsi="Times New Roman" w:cs="Times New Roman"/>
                <w:color w:val="auto"/>
                <w:highlight w:val="none"/>
              </w:rPr>
            </w:pPr>
          </w:p>
        </w:tc>
        <w:tc>
          <w:tcPr>
            <w:tcW w:w="516" w:type="dxa"/>
            <w:vMerge w:val="continue"/>
            <w:vAlign w:val="center"/>
          </w:tcPr>
          <w:p w14:paraId="09E0C1E7">
            <w:pPr>
              <w:autoSpaceDE w:val="0"/>
              <w:autoSpaceDN w:val="0"/>
              <w:snapToGrid w:val="0"/>
              <w:ind w:right="-105"/>
              <w:jc w:val="center"/>
              <w:rPr>
                <w:rFonts w:hint="default" w:ascii="Times New Roman" w:hAnsi="Times New Roman" w:cs="Times New Roman"/>
                <w:color w:val="auto"/>
                <w:kern w:val="0"/>
                <w:szCs w:val="21"/>
                <w:highlight w:val="none"/>
              </w:rPr>
            </w:pPr>
          </w:p>
        </w:tc>
        <w:tc>
          <w:tcPr>
            <w:tcW w:w="7705" w:type="dxa"/>
            <w:gridSpan w:val="5"/>
            <w:vAlign w:val="center"/>
          </w:tcPr>
          <w:p w14:paraId="64929660">
            <w:pPr>
              <w:pStyle w:val="5"/>
              <w:spacing w:line="300" w:lineRule="exact"/>
              <w:jc w:val="both"/>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每增加一项满足附录2资格审查条件（业绩最低要求）</w:t>
            </w:r>
            <w:r>
              <w:rPr>
                <w:rFonts w:hint="eastAsia" w:ascii="Times New Roman" w:hAnsi="Times New Roman" w:cs="Times New Roman"/>
                <w:color w:val="auto"/>
                <w:kern w:val="2"/>
                <w:sz w:val="21"/>
                <w:szCs w:val="21"/>
                <w:highlight w:val="none"/>
                <w:lang w:eastAsia="zh-CN"/>
              </w:rPr>
              <w:t>中桥隧检测</w:t>
            </w:r>
            <w:r>
              <w:rPr>
                <w:rFonts w:hint="default" w:ascii="Times New Roman" w:hAnsi="Times New Roman" w:cs="Times New Roman"/>
                <w:color w:val="auto"/>
                <w:kern w:val="2"/>
                <w:sz w:val="21"/>
                <w:szCs w:val="21"/>
                <w:highlight w:val="none"/>
              </w:rPr>
              <w:t>业绩加</w:t>
            </w:r>
            <w:r>
              <w:rPr>
                <w:rFonts w:hint="eastAsia" w:ascii="Times New Roman" w:hAnsi="Times New Roman" w:cs="Times New Roman"/>
                <w:color w:val="auto"/>
                <w:kern w:val="2"/>
                <w:sz w:val="21"/>
                <w:szCs w:val="21"/>
                <w:highlight w:val="none"/>
                <w:lang w:val="en-US" w:eastAsia="zh-CN"/>
              </w:rPr>
              <w:t>1</w:t>
            </w:r>
            <w:r>
              <w:rPr>
                <w:rFonts w:hint="default" w:ascii="Times New Roman" w:hAnsi="Times New Roman" w:cs="Times New Roman"/>
                <w:color w:val="auto"/>
                <w:kern w:val="2"/>
                <w:sz w:val="21"/>
                <w:szCs w:val="21"/>
                <w:highlight w:val="none"/>
              </w:rPr>
              <w:t>分，本项最多加</w:t>
            </w:r>
            <w:r>
              <w:rPr>
                <w:rFonts w:hint="eastAsia" w:ascii="Times New Roman" w:hAnsi="Times New Roman" w:cs="Times New Roman"/>
                <w:color w:val="auto"/>
                <w:kern w:val="2"/>
                <w:sz w:val="21"/>
                <w:szCs w:val="21"/>
                <w:highlight w:val="none"/>
                <w:lang w:val="en-US" w:eastAsia="zh-CN"/>
              </w:rPr>
              <w:t>2</w:t>
            </w:r>
            <w:r>
              <w:rPr>
                <w:rFonts w:hint="default" w:ascii="Times New Roman" w:hAnsi="Times New Roman" w:cs="Times New Roman"/>
                <w:color w:val="auto"/>
                <w:kern w:val="2"/>
                <w:sz w:val="21"/>
                <w:szCs w:val="21"/>
                <w:highlight w:val="none"/>
              </w:rPr>
              <w:t>分</w:t>
            </w:r>
            <w:r>
              <w:rPr>
                <w:rFonts w:hint="eastAsia" w:ascii="Times New Roman" w:hAnsi="Times New Roman" w:cs="Times New Roman"/>
                <w:color w:val="auto"/>
                <w:kern w:val="2"/>
                <w:sz w:val="21"/>
                <w:szCs w:val="21"/>
                <w:highlight w:val="none"/>
                <w:lang w:eastAsia="zh-CN"/>
              </w:rPr>
              <w:t>。</w:t>
            </w:r>
          </w:p>
        </w:tc>
      </w:tr>
      <w:tr w14:paraId="518EB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2" w:hRule="atLeast"/>
        </w:trPr>
        <w:tc>
          <w:tcPr>
            <w:tcW w:w="977" w:type="dxa"/>
            <w:vMerge w:val="continue"/>
            <w:vAlign w:val="center"/>
          </w:tcPr>
          <w:p w14:paraId="536A2CFE">
            <w:pPr>
              <w:autoSpaceDE w:val="0"/>
              <w:autoSpaceDN w:val="0"/>
              <w:snapToGrid w:val="0"/>
              <w:ind w:right="-105"/>
              <w:jc w:val="center"/>
              <w:rPr>
                <w:rFonts w:hint="default" w:ascii="Times New Roman" w:hAnsi="Times New Roman" w:cs="Times New Roman"/>
                <w:color w:val="auto"/>
                <w:highlight w:val="none"/>
              </w:rPr>
            </w:pPr>
          </w:p>
        </w:tc>
        <w:tc>
          <w:tcPr>
            <w:tcW w:w="516" w:type="dxa"/>
            <w:vMerge w:val="continue"/>
            <w:vAlign w:val="center"/>
          </w:tcPr>
          <w:p w14:paraId="700A3C1E">
            <w:pPr>
              <w:autoSpaceDE w:val="0"/>
              <w:autoSpaceDN w:val="0"/>
              <w:snapToGrid w:val="0"/>
              <w:ind w:right="-105"/>
              <w:jc w:val="center"/>
              <w:rPr>
                <w:rFonts w:hint="default" w:ascii="Times New Roman" w:hAnsi="Times New Roman" w:cs="Times New Roman"/>
                <w:color w:val="auto"/>
                <w:kern w:val="0"/>
                <w:szCs w:val="21"/>
                <w:highlight w:val="none"/>
              </w:rPr>
            </w:pPr>
          </w:p>
        </w:tc>
        <w:tc>
          <w:tcPr>
            <w:tcW w:w="7705" w:type="dxa"/>
            <w:gridSpan w:val="5"/>
            <w:vAlign w:val="center"/>
          </w:tcPr>
          <w:p w14:paraId="35DFEE67">
            <w:pPr>
              <w:pStyle w:val="5"/>
              <w:spacing w:line="300" w:lineRule="exact"/>
              <w:jc w:val="both"/>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每增加一项满足附录2资格审查条件（业绩最低要求）</w:t>
            </w:r>
            <w:r>
              <w:rPr>
                <w:rFonts w:hint="eastAsia" w:ascii="Times New Roman" w:hAnsi="Times New Roman" w:cs="Times New Roman"/>
                <w:color w:val="auto"/>
                <w:kern w:val="2"/>
                <w:sz w:val="21"/>
                <w:szCs w:val="21"/>
                <w:highlight w:val="none"/>
                <w:lang w:eastAsia="zh-CN"/>
              </w:rPr>
              <w:t>中交安检测</w:t>
            </w:r>
            <w:r>
              <w:rPr>
                <w:rFonts w:hint="default" w:ascii="Times New Roman" w:hAnsi="Times New Roman" w:cs="Times New Roman"/>
                <w:color w:val="auto"/>
                <w:kern w:val="2"/>
                <w:sz w:val="21"/>
                <w:szCs w:val="21"/>
                <w:highlight w:val="none"/>
              </w:rPr>
              <w:t>业绩加</w:t>
            </w:r>
            <w:r>
              <w:rPr>
                <w:rFonts w:hint="eastAsia" w:ascii="Times New Roman" w:hAnsi="Times New Roman" w:cs="Times New Roman"/>
                <w:color w:val="auto"/>
                <w:kern w:val="2"/>
                <w:sz w:val="21"/>
                <w:szCs w:val="21"/>
                <w:highlight w:val="none"/>
                <w:lang w:val="en-US" w:eastAsia="zh-CN"/>
              </w:rPr>
              <w:t>1</w:t>
            </w:r>
            <w:r>
              <w:rPr>
                <w:rFonts w:hint="default" w:ascii="Times New Roman" w:hAnsi="Times New Roman" w:cs="Times New Roman"/>
                <w:color w:val="auto"/>
                <w:kern w:val="2"/>
                <w:sz w:val="21"/>
                <w:szCs w:val="21"/>
                <w:highlight w:val="none"/>
              </w:rPr>
              <w:t>分，本项最多加</w:t>
            </w:r>
            <w:r>
              <w:rPr>
                <w:rFonts w:hint="eastAsia" w:ascii="Times New Roman" w:hAnsi="Times New Roman" w:cs="Times New Roman"/>
                <w:color w:val="auto"/>
                <w:kern w:val="2"/>
                <w:sz w:val="21"/>
                <w:szCs w:val="21"/>
                <w:highlight w:val="none"/>
                <w:lang w:val="en-US" w:eastAsia="zh-CN"/>
              </w:rPr>
              <w:t>2</w:t>
            </w:r>
            <w:r>
              <w:rPr>
                <w:rFonts w:hint="default" w:ascii="Times New Roman" w:hAnsi="Times New Roman" w:cs="Times New Roman"/>
                <w:color w:val="auto"/>
                <w:kern w:val="2"/>
                <w:sz w:val="21"/>
                <w:szCs w:val="21"/>
                <w:highlight w:val="none"/>
              </w:rPr>
              <w:t>分</w:t>
            </w:r>
            <w:r>
              <w:rPr>
                <w:rFonts w:hint="eastAsia" w:ascii="Times New Roman" w:hAnsi="Times New Roman" w:cs="Times New Roman"/>
                <w:color w:val="auto"/>
                <w:kern w:val="2"/>
                <w:sz w:val="21"/>
                <w:szCs w:val="21"/>
                <w:highlight w:val="none"/>
                <w:lang w:eastAsia="zh-CN"/>
              </w:rPr>
              <w:t>。</w:t>
            </w:r>
          </w:p>
        </w:tc>
      </w:tr>
      <w:tr w14:paraId="03CD16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8" w:hRule="atLeast"/>
        </w:trPr>
        <w:tc>
          <w:tcPr>
            <w:tcW w:w="977" w:type="dxa"/>
            <w:vMerge w:val="continue"/>
            <w:vAlign w:val="center"/>
          </w:tcPr>
          <w:p w14:paraId="2055E30B">
            <w:pPr>
              <w:autoSpaceDE w:val="0"/>
              <w:autoSpaceDN w:val="0"/>
              <w:snapToGrid w:val="0"/>
              <w:ind w:right="-105"/>
              <w:jc w:val="center"/>
              <w:rPr>
                <w:rFonts w:hint="default" w:ascii="Times New Roman" w:hAnsi="Times New Roman" w:cs="Times New Roman"/>
                <w:color w:val="auto"/>
                <w:highlight w:val="none"/>
              </w:rPr>
            </w:pPr>
          </w:p>
        </w:tc>
        <w:tc>
          <w:tcPr>
            <w:tcW w:w="516" w:type="dxa"/>
            <w:vMerge w:val="continue"/>
            <w:vAlign w:val="center"/>
          </w:tcPr>
          <w:p w14:paraId="514BB35F">
            <w:pPr>
              <w:autoSpaceDE w:val="0"/>
              <w:autoSpaceDN w:val="0"/>
              <w:snapToGrid w:val="0"/>
              <w:ind w:right="-105"/>
              <w:jc w:val="center"/>
              <w:rPr>
                <w:rFonts w:hint="default" w:ascii="Times New Roman" w:hAnsi="Times New Roman" w:cs="Times New Roman"/>
                <w:color w:val="auto"/>
                <w:kern w:val="0"/>
                <w:szCs w:val="21"/>
                <w:highlight w:val="none"/>
              </w:rPr>
            </w:pPr>
          </w:p>
        </w:tc>
        <w:tc>
          <w:tcPr>
            <w:tcW w:w="7705" w:type="dxa"/>
            <w:gridSpan w:val="5"/>
            <w:tcBorders>
              <w:bottom w:val="single" w:color="auto" w:sz="4" w:space="0"/>
            </w:tcBorders>
            <w:vAlign w:val="center"/>
          </w:tcPr>
          <w:p w14:paraId="79D9BEC0">
            <w:pPr>
              <w:pStyle w:val="5"/>
              <w:spacing w:line="300" w:lineRule="exact"/>
              <w:jc w:val="both"/>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每增加一项满足附录2资格审查条件（业绩最低要求）</w:t>
            </w:r>
            <w:r>
              <w:rPr>
                <w:rFonts w:hint="eastAsia" w:ascii="Times New Roman" w:hAnsi="Times New Roman" w:cs="Times New Roman"/>
                <w:color w:val="auto"/>
                <w:kern w:val="2"/>
                <w:sz w:val="21"/>
                <w:szCs w:val="21"/>
                <w:highlight w:val="none"/>
                <w:lang w:eastAsia="zh-CN"/>
              </w:rPr>
              <w:t>中</w:t>
            </w:r>
            <w:r>
              <w:rPr>
                <w:rFonts w:hint="eastAsia" w:ascii="Times New Roman" w:hAnsi="Times New Roman" w:cs="Times New Roman"/>
                <w:color w:val="auto"/>
                <w:szCs w:val="21"/>
                <w:highlight w:val="none"/>
                <w:lang w:eastAsia="zh-CN"/>
              </w:rPr>
              <w:t>路况数据处理与评定</w:t>
            </w:r>
            <w:r>
              <w:rPr>
                <w:rFonts w:hint="default" w:ascii="Times New Roman" w:hAnsi="Times New Roman" w:cs="Times New Roman"/>
                <w:color w:val="auto"/>
                <w:kern w:val="2"/>
                <w:sz w:val="21"/>
                <w:szCs w:val="21"/>
                <w:highlight w:val="none"/>
              </w:rPr>
              <w:t>业绩加</w:t>
            </w:r>
            <w:r>
              <w:rPr>
                <w:rFonts w:hint="eastAsia" w:ascii="Times New Roman" w:hAnsi="Times New Roman" w:cs="Times New Roman"/>
                <w:color w:val="auto"/>
                <w:kern w:val="2"/>
                <w:sz w:val="21"/>
                <w:szCs w:val="21"/>
                <w:highlight w:val="none"/>
                <w:lang w:val="en-US" w:eastAsia="zh-CN"/>
              </w:rPr>
              <w:t>1</w:t>
            </w:r>
            <w:r>
              <w:rPr>
                <w:rFonts w:hint="default" w:ascii="Times New Roman" w:hAnsi="Times New Roman" w:cs="Times New Roman"/>
                <w:color w:val="auto"/>
                <w:kern w:val="2"/>
                <w:sz w:val="21"/>
                <w:szCs w:val="21"/>
                <w:highlight w:val="none"/>
              </w:rPr>
              <w:t>分，本项最多加</w:t>
            </w:r>
            <w:r>
              <w:rPr>
                <w:rFonts w:hint="eastAsia" w:ascii="Times New Roman" w:hAnsi="Times New Roman" w:cs="Times New Roman"/>
                <w:color w:val="auto"/>
                <w:kern w:val="2"/>
                <w:sz w:val="21"/>
                <w:szCs w:val="21"/>
                <w:highlight w:val="none"/>
                <w:lang w:val="en-US" w:eastAsia="zh-CN"/>
              </w:rPr>
              <w:t>2</w:t>
            </w:r>
            <w:r>
              <w:rPr>
                <w:rFonts w:hint="default" w:ascii="Times New Roman" w:hAnsi="Times New Roman" w:cs="Times New Roman"/>
                <w:color w:val="auto"/>
                <w:kern w:val="2"/>
                <w:sz w:val="21"/>
                <w:szCs w:val="21"/>
                <w:highlight w:val="none"/>
              </w:rPr>
              <w:t>分</w:t>
            </w:r>
            <w:r>
              <w:rPr>
                <w:rFonts w:hint="eastAsia" w:ascii="Times New Roman" w:hAnsi="Times New Roman" w:cs="Times New Roman"/>
                <w:color w:val="auto"/>
                <w:kern w:val="2"/>
                <w:sz w:val="21"/>
                <w:szCs w:val="21"/>
                <w:highlight w:val="none"/>
                <w:lang w:eastAsia="zh-CN"/>
              </w:rPr>
              <w:t>。</w:t>
            </w:r>
          </w:p>
        </w:tc>
      </w:tr>
    </w:tbl>
    <w:p w14:paraId="563892C8">
      <w:pPr>
        <w:ind w:firstLine="400"/>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注：1、技术建议书得分应以评标委员会各成员的打分平均值确定；评委打分保留1位小数，汇总得分保留小数点后两位。</w:t>
      </w:r>
    </w:p>
    <w:p w14:paraId="0BFDB534">
      <w:pPr>
        <w:ind w:firstLine="400" w:firstLineChars="200"/>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2、技术建议书评审因素细分项缺项则该项得0分。</w:t>
      </w:r>
      <w:bookmarkEnd w:id="23"/>
    </w:p>
    <w:p w14:paraId="7AB8366A">
      <w:pPr>
        <w:ind w:firstLine="400" w:firstLineChars="200"/>
        <w:rPr>
          <w:rFonts w:hint="default" w:ascii="Times New Roman" w:hAnsi="Times New Roman" w:cs="Times New Roman"/>
          <w:strike w:val="0"/>
          <w:dstrike w:val="0"/>
          <w:color w:val="auto"/>
          <w:szCs w:val="21"/>
          <w:highlight w:val="none"/>
        </w:rPr>
      </w:pPr>
      <w:r>
        <w:rPr>
          <w:rFonts w:hint="default" w:ascii="Times New Roman" w:hAnsi="Times New Roman" w:cs="Times New Roman"/>
          <w:strike w:val="0"/>
          <w:dstrike w:val="0"/>
          <w:color w:val="auto"/>
          <w:kern w:val="0"/>
          <w:sz w:val="20"/>
          <w:szCs w:val="20"/>
          <w:highlight w:val="none"/>
        </w:rPr>
        <w:t>3、</w:t>
      </w:r>
      <w:r>
        <w:rPr>
          <w:rFonts w:hint="default" w:ascii="Times New Roman" w:hAnsi="Times New Roman" w:cs="Times New Roman"/>
          <w:strike w:val="0"/>
          <w:dstrike w:val="0"/>
          <w:color w:val="auto"/>
          <w:kern w:val="0"/>
          <w:szCs w:val="21"/>
          <w:highlight w:val="none"/>
        </w:rPr>
        <w:t>同一业绩中同时包含路面检测、桥梁检测</w:t>
      </w:r>
      <w:r>
        <w:rPr>
          <w:rFonts w:hint="eastAsia" w:ascii="Times New Roman" w:hAnsi="Times New Roman" w:cs="Times New Roman"/>
          <w:strike w:val="0"/>
          <w:dstrike w:val="0"/>
          <w:color w:val="auto"/>
          <w:kern w:val="0"/>
          <w:szCs w:val="21"/>
          <w:highlight w:val="none"/>
          <w:lang w:eastAsia="zh-CN"/>
        </w:rPr>
        <w:t>、</w:t>
      </w:r>
      <w:r>
        <w:rPr>
          <w:rFonts w:hint="default" w:ascii="Times New Roman" w:hAnsi="Times New Roman" w:cs="Times New Roman"/>
          <w:strike w:val="0"/>
          <w:dstrike w:val="0"/>
          <w:color w:val="auto"/>
          <w:kern w:val="0"/>
          <w:szCs w:val="21"/>
          <w:highlight w:val="none"/>
        </w:rPr>
        <w:t>隧道检测</w:t>
      </w:r>
      <w:r>
        <w:rPr>
          <w:rFonts w:hint="eastAsia" w:ascii="Times New Roman" w:hAnsi="Times New Roman" w:cs="Times New Roman"/>
          <w:strike w:val="0"/>
          <w:dstrike w:val="0"/>
          <w:color w:val="auto"/>
          <w:kern w:val="0"/>
          <w:szCs w:val="21"/>
          <w:highlight w:val="none"/>
          <w:lang w:eastAsia="zh-CN"/>
        </w:rPr>
        <w:t>、交安检测、</w:t>
      </w:r>
      <w:r>
        <w:rPr>
          <w:rFonts w:hint="eastAsia" w:ascii="Times New Roman" w:hAnsi="Times New Roman" w:cs="Times New Roman"/>
          <w:color w:val="auto"/>
          <w:szCs w:val="21"/>
          <w:highlight w:val="none"/>
          <w:lang w:eastAsia="zh-CN"/>
        </w:rPr>
        <w:t>路况数据处理与评定</w:t>
      </w:r>
      <w:r>
        <w:rPr>
          <w:rFonts w:hint="default" w:ascii="Times New Roman" w:hAnsi="Times New Roman" w:cs="Times New Roman"/>
          <w:strike w:val="0"/>
          <w:dstrike w:val="0"/>
          <w:color w:val="auto"/>
          <w:kern w:val="0"/>
          <w:szCs w:val="21"/>
          <w:highlight w:val="none"/>
        </w:rPr>
        <w:t>内容的可重复计算。</w:t>
      </w:r>
    </w:p>
    <w:p w14:paraId="40F684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B77801"/>
    <w:rsid w:val="424934FB"/>
    <w:rsid w:val="49540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Times New Roman" w:hAnsi="Times New Roman"/>
      <w:szCs w:val="24"/>
    </w:rPr>
  </w:style>
  <w:style w:type="paragraph" w:styleId="5">
    <w:name w:val="Plain Text"/>
    <w:basedOn w:val="1"/>
    <w:qFormat/>
    <w:uiPriority w:val="0"/>
    <w:pPr>
      <w:jc w:val="center"/>
    </w:pPr>
    <w:rPr>
      <w:rFonts w:ascii="宋体" w:hAnsi="Courier New"/>
      <w:kern w:val="0"/>
      <w:sz w:val="20"/>
      <w:szCs w:val="20"/>
    </w:rPr>
  </w:style>
  <w:style w:type="paragraph" w:styleId="8">
    <w:name w:val="List Paragraph"/>
    <w:basedOn w:val="1"/>
    <w:autoRedefine/>
    <w:qFormat/>
    <w:uiPriority w:val="1"/>
    <w:pPr>
      <w:ind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3746</Words>
  <Characters>4187</Characters>
  <Lines>0</Lines>
  <Paragraphs>0</Paragraphs>
  <TotalTime>0</TotalTime>
  <ScaleCrop>false</ScaleCrop>
  <LinksUpToDate>false</LinksUpToDate>
  <CharactersWithSpaces>4231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2023-02-06T01:14:00Z</dcterms:created>
  <dc:creator>成套-项目二-刘</dc:creator>
  <cp:lastModifiedBy>李娜</cp:lastModifiedBy>
  <dcterms:modified xsi:type="dcterms:W3CDTF">2026-07-13T03:36:02Z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7A8A59408D9844A5B5111C1E344B0746</vt:lpwstr>
  </property>
  <property fmtid="{D5CDD505-2E9C-101B-9397-08002B2CF9AE}" pid="4" name="KSOTemplateDocerSaveRecord">
    <vt:lpwstr>eyJoZGlkIjoiOWYyZDYxNTJjZmI2NmVkYTMyOWVjMGFiZjEzZGM5NjgiLCJ1c2VySWQiOiIxNTI1NDExOTAzIn0=</vt:lpwstr>
  </property>
</Properties>
</file>