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61F929">
      <w:pPr>
        <w:rPr>
          <w:rFonts w:hint="eastAsia" w:ascii="宋体" w:hAnsi="宋体" w:cs="宋体"/>
          <w:b/>
          <w:color w:val="auto"/>
          <w:sz w:val="28"/>
          <w:szCs w:val="28"/>
          <w:highlight w:val="none"/>
        </w:rPr>
      </w:pPr>
      <w:bookmarkStart w:id="20" w:name="_GoBack"/>
      <w:bookmarkEnd w:id="20"/>
      <w:r>
        <w:rPr>
          <w:rFonts w:hint="eastAsia" w:ascii="宋体" w:hAnsi="宋体" w:cs="宋体"/>
          <w:b/>
          <w:color w:val="auto"/>
          <w:sz w:val="28"/>
          <w:szCs w:val="28"/>
          <w:highlight w:val="none"/>
        </w:rPr>
        <w:t>附件1：资格审查条件</w:t>
      </w:r>
    </w:p>
    <w:p w14:paraId="19639AD3">
      <w:pPr>
        <w:pStyle w:val="14"/>
        <w:rPr>
          <w:rFonts w:hint="eastAsia"/>
          <w:color w:val="auto"/>
          <w:highlight w:val="none"/>
        </w:rPr>
      </w:pPr>
    </w:p>
    <w:p w14:paraId="54EFB1F6">
      <w:pPr>
        <w:adjustRightInd w:val="0"/>
        <w:snapToGrid w:val="0"/>
        <w:spacing w:line="360" w:lineRule="auto"/>
        <w:jc w:val="center"/>
        <w:rPr>
          <w:rFonts w:ascii="宋体" w:hAnsi="宋体"/>
          <w:b/>
          <w:bCs/>
          <w:snapToGrid w:val="0"/>
          <w:color w:val="auto"/>
          <w:kern w:val="0"/>
          <w:sz w:val="24"/>
          <w:szCs w:val="24"/>
          <w:highlight w:val="none"/>
        </w:rPr>
      </w:pPr>
    </w:p>
    <w:p w14:paraId="27962F0B">
      <w:pPr>
        <w:adjustRightInd w:val="0"/>
        <w:snapToGrid w:val="0"/>
        <w:spacing w:line="360" w:lineRule="auto"/>
        <w:jc w:val="center"/>
        <w:rPr>
          <w:rFonts w:ascii="宋体" w:hAnsi="宋体"/>
          <w:b/>
          <w:bCs/>
          <w:snapToGrid w:val="0"/>
          <w:color w:val="auto"/>
          <w:kern w:val="0"/>
          <w:sz w:val="24"/>
          <w:szCs w:val="24"/>
          <w:highlight w:val="none"/>
        </w:rPr>
      </w:pPr>
      <w:r>
        <w:rPr>
          <w:rFonts w:ascii="宋体" w:hAnsi="宋体"/>
          <w:b/>
          <w:bCs/>
          <w:snapToGrid w:val="0"/>
          <w:color w:val="auto"/>
          <w:kern w:val="0"/>
          <w:sz w:val="24"/>
          <w:szCs w:val="24"/>
          <w:highlight w:val="none"/>
        </w:rPr>
        <w:t>附录1  资格审查条件（资质最低要求）</w:t>
      </w:r>
    </w:p>
    <w:tbl>
      <w:tblPr>
        <w:tblStyle w:val="11"/>
        <w:tblW w:w="500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8522"/>
      </w:tblGrid>
      <w:tr w14:paraId="7BCB82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67" w:hRule="atLeast"/>
          <w:jc w:val="center"/>
        </w:trPr>
        <w:tc>
          <w:tcPr>
            <w:tcW w:w="5000" w:type="pct"/>
            <w:tcBorders>
              <w:top w:val="single" w:color="000000" w:sz="2" w:space="0"/>
              <w:left w:val="single" w:color="auto" w:sz="4" w:space="0"/>
              <w:bottom w:val="single" w:color="000000" w:sz="4" w:space="0"/>
              <w:right w:val="single" w:color="000000" w:sz="2" w:space="0"/>
            </w:tcBorders>
            <w:noWrap w:val="0"/>
            <w:vAlign w:val="center"/>
          </w:tcPr>
          <w:p w14:paraId="71D46251">
            <w:pPr>
              <w:adjustRightInd w:val="0"/>
              <w:snapToGrid w:val="0"/>
              <w:spacing w:line="240" w:lineRule="auto"/>
              <w:jc w:val="center"/>
              <w:textAlignment w:val="baseline"/>
              <w:rPr>
                <w:rStyle w:val="15"/>
                <w:rFonts w:ascii="宋体" w:hAnsi="宋体"/>
                <w:b w:val="0"/>
                <w:bCs w:val="0"/>
                <w:snapToGrid w:val="0"/>
                <w:color w:val="auto"/>
                <w:kern w:val="0"/>
                <w:sz w:val="24"/>
                <w:szCs w:val="24"/>
                <w:highlight w:val="none"/>
              </w:rPr>
            </w:pPr>
            <w:r>
              <w:rPr>
                <w:rStyle w:val="15"/>
                <w:rFonts w:ascii="宋体" w:hAnsi="宋体"/>
                <w:b w:val="0"/>
                <w:bCs w:val="0"/>
                <w:snapToGrid w:val="0"/>
                <w:color w:val="auto"/>
                <w:kern w:val="0"/>
                <w:sz w:val="24"/>
                <w:szCs w:val="24"/>
                <w:highlight w:val="none"/>
              </w:rPr>
              <w:t>资质要求</w:t>
            </w:r>
          </w:p>
        </w:tc>
      </w:tr>
      <w:tr w14:paraId="64BBF5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824" w:hRule="atLeast"/>
          <w:jc w:val="center"/>
        </w:trPr>
        <w:tc>
          <w:tcPr>
            <w:tcW w:w="5000" w:type="pct"/>
            <w:tcBorders>
              <w:top w:val="single" w:color="000000" w:sz="2" w:space="0"/>
              <w:left w:val="single" w:color="auto" w:sz="4" w:space="0"/>
              <w:bottom w:val="single" w:color="000000" w:sz="2" w:space="0"/>
              <w:right w:val="single" w:color="000000" w:sz="2" w:space="0"/>
            </w:tcBorders>
            <w:noWrap w:val="0"/>
            <w:vAlign w:val="center"/>
          </w:tcPr>
          <w:p w14:paraId="5DD0B503">
            <w:pPr>
              <w:pStyle w:val="17"/>
              <w:adjustRightInd w:val="0"/>
              <w:snapToGrid w:val="0"/>
              <w:spacing w:line="240" w:lineRule="auto"/>
              <w:jc w:val="both"/>
              <w:rPr>
                <w:rStyle w:val="15"/>
                <w:rFonts w:hint="eastAsia" w:hAnsi="宋体" w:eastAsia="宋体"/>
                <w:bCs w:val="0"/>
                <w:snapToGrid w:val="0"/>
                <w:color w:val="auto"/>
                <w:sz w:val="24"/>
                <w:szCs w:val="24"/>
                <w:highlight w:val="none"/>
                <w:lang w:eastAsia="zh-CN"/>
              </w:rPr>
            </w:pPr>
            <w:r>
              <w:rPr>
                <w:rFonts w:hint="eastAsia" w:hAnsi="宋体"/>
                <w:color w:val="auto"/>
                <w:sz w:val="24"/>
                <w:szCs w:val="24"/>
                <w:highlight w:val="none"/>
              </w:rPr>
              <w:t>投标人为中华人民共和国境内合法注册的独立法人或其他组织，具有独立承担民事责任能力，具有独立订立合同权利的</w:t>
            </w:r>
            <w:r>
              <w:rPr>
                <w:rFonts w:hint="eastAsia" w:hAnsi="宋体"/>
                <w:color w:val="auto"/>
                <w:sz w:val="24"/>
                <w:szCs w:val="24"/>
                <w:highlight w:val="none"/>
                <w:lang w:eastAsia="zh-CN"/>
              </w:rPr>
              <w:t>设备制造商。</w:t>
            </w:r>
          </w:p>
        </w:tc>
      </w:tr>
    </w:tbl>
    <w:p w14:paraId="33C79E4A">
      <w:pPr>
        <w:pStyle w:val="5"/>
        <w:spacing w:line="240" w:lineRule="auto"/>
        <w:ind w:left="0" w:leftChars="0" w:firstLine="0" w:firstLineChars="0"/>
        <w:jc w:val="center"/>
        <w:rPr>
          <w:rFonts w:hint="eastAsia"/>
          <w:color w:val="auto"/>
          <w:sz w:val="24"/>
          <w:szCs w:val="24"/>
          <w:highlight w:val="none"/>
        </w:rPr>
      </w:pPr>
    </w:p>
    <w:p w14:paraId="440DCFD6">
      <w:pPr>
        <w:spacing w:line="240" w:lineRule="auto"/>
        <w:jc w:val="center"/>
        <w:rPr>
          <w:rFonts w:ascii="宋体" w:hAnsi="宋体"/>
          <w:b/>
          <w:bCs/>
          <w:snapToGrid w:val="0"/>
          <w:color w:val="auto"/>
          <w:kern w:val="0"/>
          <w:sz w:val="24"/>
          <w:szCs w:val="24"/>
          <w:highlight w:val="none"/>
        </w:rPr>
      </w:pPr>
    </w:p>
    <w:p w14:paraId="2312B167">
      <w:pPr>
        <w:spacing w:line="240" w:lineRule="auto"/>
        <w:jc w:val="center"/>
        <w:rPr>
          <w:rFonts w:ascii="宋体" w:hAnsi="宋体"/>
          <w:b/>
          <w:bCs/>
          <w:snapToGrid w:val="0"/>
          <w:color w:val="auto"/>
          <w:kern w:val="0"/>
          <w:sz w:val="24"/>
          <w:szCs w:val="24"/>
          <w:highlight w:val="none"/>
        </w:rPr>
      </w:pPr>
    </w:p>
    <w:p w14:paraId="01050738">
      <w:pPr>
        <w:spacing w:line="240" w:lineRule="auto"/>
        <w:jc w:val="center"/>
        <w:rPr>
          <w:rFonts w:hint="eastAsia" w:ascii="宋体" w:hAnsi="宋体"/>
          <w:color w:val="auto"/>
          <w:sz w:val="24"/>
          <w:szCs w:val="24"/>
          <w:highlight w:val="none"/>
        </w:rPr>
      </w:pPr>
      <w:r>
        <w:rPr>
          <w:rFonts w:ascii="宋体" w:hAnsi="宋体"/>
          <w:b/>
          <w:bCs/>
          <w:snapToGrid w:val="0"/>
          <w:color w:val="auto"/>
          <w:kern w:val="0"/>
          <w:sz w:val="24"/>
          <w:szCs w:val="24"/>
          <w:highlight w:val="none"/>
        </w:rPr>
        <w:t>附录2  资格审查条件（业绩最低要求）</w:t>
      </w:r>
    </w:p>
    <w:tbl>
      <w:tblPr>
        <w:tblStyle w:val="11"/>
        <w:tblW w:w="500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8522"/>
      </w:tblGrid>
      <w:tr w14:paraId="7E7A76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67" w:hRule="atLeast"/>
          <w:jc w:val="center"/>
        </w:trPr>
        <w:tc>
          <w:tcPr>
            <w:tcW w:w="5000" w:type="pct"/>
            <w:tcBorders>
              <w:top w:val="single" w:color="000000" w:sz="2" w:space="0"/>
              <w:left w:val="single" w:color="auto" w:sz="4" w:space="0"/>
              <w:bottom w:val="single" w:color="000000" w:sz="4" w:space="0"/>
              <w:right w:val="single" w:color="000000" w:sz="2" w:space="0"/>
            </w:tcBorders>
            <w:noWrap w:val="0"/>
            <w:vAlign w:val="center"/>
          </w:tcPr>
          <w:p w14:paraId="43266013">
            <w:pPr>
              <w:adjustRightInd w:val="0"/>
              <w:snapToGrid w:val="0"/>
              <w:spacing w:line="240" w:lineRule="auto"/>
              <w:jc w:val="center"/>
              <w:textAlignment w:val="baseline"/>
              <w:rPr>
                <w:rStyle w:val="15"/>
                <w:rFonts w:ascii="宋体" w:hAnsi="宋体"/>
                <w:snapToGrid w:val="0"/>
                <w:color w:val="auto"/>
                <w:kern w:val="0"/>
                <w:sz w:val="24"/>
                <w:szCs w:val="24"/>
                <w:highlight w:val="none"/>
              </w:rPr>
            </w:pPr>
            <w:r>
              <w:rPr>
                <w:rStyle w:val="15"/>
                <w:rFonts w:ascii="宋体" w:hAnsi="宋体"/>
                <w:snapToGrid w:val="0"/>
                <w:color w:val="auto"/>
                <w:kern w:val="0"/>
                <w:sz w:val="24"/>
                <w:szCs w:val="24"/>
                <w:highlight w:val="none"/>
              </w:rPr>
              <w:t>业绩要求</w:t>
            </w:r>
          </w:p>
        </w:tc>
      </w:tr>
      <w:tr w14:paraId="0F8885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230" w:hRule="atLeast"/>
          <w:jc w:val="center"/>
        </w:trPr>
        <w:tc>
          <w:tcPr>
            <w:tcW w:w="5000" w:type="pct"/>
            <w:tcBorders>
              <w:top w:val="single" w:color="000000" w:sz="2" w:space="0"/>
              <w:left w:val="single" w:color="auto" w:sz="4" w:space="0"/>
              <w:bottom w:val="single" w:color="000000" w:sz="2" w:space="0"/>
              <w:right w:val="single" w:color="000000" w:sz="2" w:space="0"/>
            </w:tcBorders>
            <w:noWrap w:val="0"/>
            <w:vAlign w:val="center"/>
          </w:tcPr>
          <w:p w14:paraId="38CBDAD1">
            <w:pPr>
              <w:adjustRightInd w:val="0"/>
              <w:snapToGrid w:val="0"/>
              <w:spacing w:line="240" w:lineRule="auto"/>
              <w:jc w:val="both"/>
              <w:rPr>
                <w:rStyle w:val="15"/>
                <w:rFonts w:hint="eastAsia" w:hAnsi="宋体"/>
                <w:bCs w:val="0"/>
                <w:snapToGrid w:val="0"/>
                <w:color w:val="auto"/>
                <w:sz w:val="24"/>
                <w:szCs w:val="24"/>
                <w:highlight w:val="none"/>
                <w:lang w:val="en-US" w:eastAsia="zh-CN"/>
              </w:rPr>
            </w:pPr>
            <w:r>
              <w:rPr>
                <w:rStyle w:val="15"/>
                <w:rFonts w:hint="eastAsia" w:hAnsi="宋体"/>
                <w:bCs w:val="0"/>
                <w:snapToGrid w:val="0"/>
                <w:color w:val="auto"/>
                <w:sz w:val="24"/>
                <w:szCs w:val="24"/>
                <w:highlight w:val="none"/>
                <w:lang w:val="en-US" w:eastAsia="zh-CN"/>
              </w:rPr>
              <w:t>近3年内（2023年7月1日至投标截止时间，以合同签订时间为准），承揽过一项所投品牌的隧道北斗设备（含天线或基站）供货业绩。</w:t>
            </w:r>
          </w:p>
        </w:tc>
      </w:tr>
    </w:tbl>
    <w:p w14:paraId="5A98957C">
      <w:pPr>
        <w:adjustRightInd w:val="0"/>
        <w:snapToGrid w:val="0"/>
        <w:spacing w:line="360" w:lineRule="auto"/>
        <w:jc w:val="both"/>
        <w:rPr>
          <w:rFonts w:ascii="宋体" w:hAnsi="宋体"/>
          <w:b/>
          <w:bCs/>
          <w:snapToGrid w:val="0"/>
          <w:color w:val="auto"/>
          <w:kern w:val="0"/>
          <w:sz w:val="24"/>
          <w:szCs w:val="24"/>
          <w:highlight w:val="none"/>
        </w:rPr>
      </w:pPr>
    </w:p>
    <w:p w14:paraId="5758ADE0">
      <w:pPr>
        <w:adjustRightInd w:val="0"/>
        <w:snapToGrid w:val="0"/>
        <w:spacing w:line="360" w:lineRule="auto"/>
        <w:jc w:val="center"/>
        <w:rPr>
          <w:rFonts w:ascii="宋体" w:hAnsi="宋体"/>
          <w:b/>
          <w:bCs/>
          <w:snapToGrid w:val="0"/>
          <w:color w:val="auto"/>
          <w:kern w:val="0"/>
          <w:sz w:val="24"/>
          <w:szCs w:val="24"/>
          <w:highlight w:val="none"/>
        </w:rPr>
      </w:pPr>
    </w:p>
    <w:p w14:paraId="62E5D905">
      <w:pPr>
        <w:adjustRightInd w:val="0"/>
        <w:snapToGrid w:val="0"/>
        <w:spacing w:line="360" w:lineRule="auto"/>
        <w:jc w:val="center"/>
        <w:rPr>
          <w:rFonts w:ascii="宋体" w:hAnsi="宋体"/>
          <w:b/>
          <w:bCs/>
          <w:snapToGrid w:val="0"/>
          <w:color w:val="auto"/>
          <w:kern w:val="0"/>
          <w:sz w:val="24"/>
          <w:szCs w:val="24"/>
          <w:highlight w:val="none"/>
        </w:rPr>
      </w:pPr>
      <w:r>
        <w:rPr>
          <w:rFonts w:ascii="宋体" w:hAnsi="宋体"/>
          <w:b/>
          <w:bCs/>
          <w:snapToGrid w:val="0"/>
          <w:color w:val="auto"/>
          <w:kern w:val="0"/>
          <w:sz w:val="24"/>
          <w:szCs w:val="24"/>
          <w:highlight w:val="none"/>
        </w:rPr>
        <w:t>附录3  资格审查条件（信誉最低要求）</w:t>
      </w:r>
    </w:p>
    <w:tbl>
      <w:tblPr>
        <w:tblStyle w:val="11"/>
        <w:tblW w:w="500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8522"/>
      </w:tblGrid>
      <w:tr w14:paraId="5EC5F4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67" w:hRule="atLeast"/>
          <w:jc w:val="center"/>
        </w:trPr>
        <w:tc>
          <w:tcPr>
            <w:tcW w:w="7541" w:type="dxa"/>
            <w:tcBorders>
              <w:top w:val="single" w:color="000000" w:sz="2" w:space="0"/>
              <w:left w:val="single" w:color="auto" w:sz="4" w:space="0"/>
              <w:bottom w:val="single" w:color="000000" w:sz="4" w:space="0"/>
              <w:right w:val="single" w:color="000000" w:sz="2" w:space="0"/>
            </w:tcBorders>
            <w:noWrap w:val="0"/>
            <w:vAlign w:val="center"/>
          </w:tcPr>
          <w:p w14:paraId="24C35864">
            <w:pPr>
              <w:adjustRightInd w:val="0"/>
              <w:snapToGrid w:val="0"/>
              <w:spacing w:line="240" w:lineRule="auto"/>
              <w:jc w:val="center"/>
              <w:textAlignment w:val="baseline"/>
              <w:rPr>
                <w:rStyle w:val="15"/>
                <w:rFonts w:ascii="宋体" w:hAnsi="宋体"/>
                <w:snapToGrid w:val="0"/>
                <w:color w:val="auto"/>
                <w:kern w:val="0"/>
                <w:sz w:val="24"/>
                <w:szCs w:val="24"/>
                <w:highlight w:val="none"/>
              </w:rPr>
            </w:pPr>
            <w:r>
              <w:rPr>
                <w:rStyle w:val="15"/>
                <w:rFonts w:ascii="宋体" w:hAnsi="宋体"/>
                <w:snapToGrid w:val="0"/>
                <w:color w:val="auto"/>
                <w:kern w:val="0"/>
                <w:sz w:val="24"/>
                <w:szCs w:val="24"/>
                <w:highlight w:val="none"/>
              </w:rPr>
              <w:t>信誉要求</w:t>
            </w:r>
          </w:p>
        </w:tc>
      </w:tr>
      <w:tr w14:paraId="004262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134" w:hRule="atLeast"/>
          <w:jc w:val="center"/>
        </w:trPr>
        <w:tc>
          <w:tcPr>
            <w:tcW w:w="7541" w:type="dxa"/>
            <w:tcBorders>
              <w:top w:val="single" w:color="000000" w:sz="2" w:space="0"/>
              <w:left w:val="single" w:color="auto" w:sz="4" w:space="0"/>
              <w:right w:val="single" w:color="000000" w:sz="2" w:space="0"/>
            </w:tcBorders>
            <w:noWrap w:val="0"/>
            <w:vAlign w:val="center"/>
          </w:tcPr>
          <w:p w14:paraId="31E71AB0">
            <w:pPr>
              <w:pStyle w:val="13"/>
              <w:spacing w:line="240" w:lineRule="auto"/>
              <w:ind w:firstLineChars="200"/>
              <w:rPr>
                <w:rStyle w:val="15"/>
                <w:rFonts w:ascii="宋体" w:hAnsi="宋体"/>
                <w:snapToGrid w:val="0"/>
                <w:color w:val="auto"/>
                <w:sz w:val="24"/>
                <w:szCs w:val="24"/>
                <w:highlight w:val="none"/>
                <w:lang w:bidi="ar"/>
              </w:rPr>
            </w:pPr>
            <w:r>
              <w:rPr>
                <w:rFonts w:hint="eastAsia" w:ascii="宋体" w:hAnsi="宋体"/>
                <w:snapToGrid w:val="0"/>
                <w:color w:val="auto"/>
                <w:sz w:val="24"/>
                <w:szCs w:val="24"/>
                <w:highlight w:val="none"/>
                <w:lang w:bidi="ar"/>
              </w:rPr>
              <w:t>投标人在近1年内（202</w:t>
            </w:r>
            <w:r>
              <w:rPr>
                <w:rFonts w:hint="eastAsia" w:ascii="宋体" w:hAnsi="宋体"/>
                <w:snapToGrid w:val="0"/>
                <w:color w:val="auto"/>
                <w:sz w:val="24"/>
                <w:szCs w:val="24"/>
                <w:highlight w:val="none"/>
                <w:lang w:val="en-US" w:eastAsia="zh-CN" w:bidi="ar"/>
              </w:rPr>
              <w:t>5</w:t>
            </w:r>
            <w:r>
              <w:rPr>
                <w:rFonts w:hint="eastAsia" w:ascii="宋体" w:hAnsi="宋体"/>
                <w:snapToGrid w:val="0"/>
                <w:color w:val="auto"/>
                <w:sz w:val="24"/>
                <w:szCs w:val="24"/>
                <w:highlight w:val="none"/>
                <w:lang w:bidi="ar"/>
              </w:rPr>
              <w:t>年</w:t>
            </w:r>
            <w:r>
              <w:rPr>
                <w:rFonts w:hint="eastAsia" w:ascii="宋体" w:hAnsi="宋体"/>
                <w:snapToGrid w:val="0"/>
                <w:color w:val="auto"/>
                <w:sz w:val="24"/>
                <w:szCs w:val="24"/>
                <w:highlight w:val="none"/>
                <w:lang w:val="en-US" w:eastAsia="zh-CN" w:bidi="ar"/>
              </w:rPr>
              <w:t>7</w:t>
            </w:r>
            <w:r>
              <w:rPr>
                <w:rFonts w:hint="eastAsia" w:ascii="宋体" w:hAnsi="宋体"/>
                <w:snapToGrid w:val="0"/>
                <w:color w:val="auto"/>
                <w:sz w:val="24"/>
                <w:szCs w:val="24"/>
                <w:highlight w:val="none"/>
                <w:lang w:bidi="ar"/>
              </w:rPr>
              <w:t>月1日至</w:t>
            </w:r>
            <w:r>
              <w:rPr>
                <w:rFonts w:hint="eastAsia" w:ascii="宋体" w:hAnsi="宋体"/>
                <w:snapToGrid w:val="0"/>
                <w:color w:val="auto"/>
                <w:sz w:val="24"/>
                <w:szCs w:val="24"/>
                <w:highlight w:val="none"/>
                <w:lang w:eastAsia="zh-CN" w:bidi="ar"/>
              </w:rPr>
              <w:t>投标截止时间</w:t>
            </w:r>
            <w:r>
              <w:rPr>
                <w:rFonts w:hint="eastAsia" w:ascii="宋体" w:hAnsi="宋体"/>
                <w:snapToGrid w:val="0"/>
                <w:color w:val="auto"/>
                <w:sz w:val="24"/>
                <w:szCs w:val="24"/>
                <w:highlight w:val="none"/>
                <w:lang w:bidi="ar"/>
              </w:rPr>
              <w:t>）不曾在</w:t>
            </w:r>
            <w:r>
              <w:rPr>
                <w:rFonts w:hint="eastAsia" w:ascii="宋体" w:hAnsi="宋体"/>
                <w:snapToGrid w:val="0"/>
                <w:color w:val="auto"/>
                <w:sz w:val="24"/>
                <w:szCs w:val="24"/>
                <w:highlight w:val="none"/>
                <w:lang w:val="en-US" w:eastAsia="zh-CN" w:bidi="ar"/>
              </w:rPr>
              <w:t>所投品牌隧道北斗设备</w:t>
            </w:r>
            <w:r>
              <w:rPr>
                <w:rFonts w:hint="eastAsia" w:ascii="宋体" w:hAnsi="宋体"/>
                <w:snapToGrid w:val="0"/>
                <w:color w:val="auto"/>
                <w:sz w:val="24"/>
                <w:szCs w:val="24"/>
                <w:highlight w:val="none"/>
                <w:lang w:bidi="ar"/>
              </w:rPr>
              <w:t>供货合同中违约而被驱逐或因投标人自身的原因而使</w:t>
            </w:r>
            <w:r>
              <w:rPr>
                <w:rFonts w:hint="eastAsia" w:ascii="宋体" w:hAnsi="宋体"/>
                <w:snapToGrid w:val="0"/>
                <w:color w:val="auto"/>
                <w:sz w:val="24"/>
                <w:szCs w:val="24"/>
                <w:highlight w:val="none"/>
                <w:lang w:val="en-US" w:eastAsia="zh-CN" w:bidi="ar"/>
              </w:rPr>
              <w:t>所投品牌隧道北斗设备</w:t>
            </w:r>
            <w:r>
              <w:rPr>
                <w:rFonts w:hint="eastAsia" w:ascii="宋体" w:hAnsi="宋体"/>
                <w:snapToGrid w:val="0"/>
                <w:color w:val="auto"/>
                <w:sz w:val="24"/>
                <w:szCs w:val="24"/>
                <w:highlight w:val="none"/>
                <w:lang w:bidi="ar"/>
              </w:rPr>
              <w:t>供货合同被解除。</w:t>
            </w:r>
          </w:p>
        </w:tc>
      </w:tr>
    </w:tbl>
    <w:p w14:paraId="6A03DBA2">
      <w:pPr>
        <w:jc w:val="center"/>
        <w:rPr>
          <w:rFonts w:hint="eastAsia" w:ascii="黑体" w:hAnsi="黑体" w:eastAsia="黑体" w:cs="黑体"/>
          <w:bCs/>
          <w:sz w:val="24"/>
          <w:highlight w:val="none"/>
        </w:rPr>
      </w:pPr>
    </w:p>
    <w:p w14:paraId="12833400">
      <w:pPr>
        <w:jc w:val="center"/>
        <w:rPr>
          <w:rFonts w:hint="eastAsia" w:ascii="黑体" w:hAnsi="黑体" w:eastAsia="黑体" w:cs="黑体"/>
          <w:bCs/>
          <w:sz w:val="24"/>
          <w:highlight w:val="none"/>
        </w:rPr>
      </w:pPr>
    </w:p>
    <w:p w14:paraId="04B13BA1">
      <w:pPr>
        <w:pStyle w:val="6"/>
        <w:rPr>
          <w:rFonts w:hint="eastAsia"/>
          <w:highlight w:val="none"/>
        </w:rPr>
      </w:pPr>
    </w:p>
    <w:p w14:paraId="0D5E5E6D">
      <w:pPr>
        <w:pStyle w:val="2"/>
        <w:spacing w:before="120" w:line="360" w:lineRule="auto"/>
        <w:rPr>
          <w:rFonts w:hint="eastAsia" w:ascii="宋体" w:hAnsi="宋体" w:eastAsia="宋体"/>
          <w:snapToGrid w:val="0"/>
          <w:color w:val="auto"/>
          <w:kern w:val="0"/>
          <w:sz w:val="28"/>
          <w:szCs w:val="28"/>
          <w:highlight w:val="none"/>
          <w:lang w:eastAsia="zh-CN"/>
        </w:rPr>
      </w:pPr>
      <w:r>
        <w:rPr>
          <w:rFonts w:ascii="宋体" w:hAnsi="宋体"/>
          <w:color w:val="auto"/>
          <w:w w:val="99"/>
          <w:sz w:val="28"/>
          <w:szCs w:val="28"/>
          <w:highlight w:val="none"/>
        </w:rPr>
        <w:br w:type="page"/>
      </w:r>
      <w:bookmarkStart w:id="0" w:name="_Toc136511007"/>
      <w:bookmarkStart w:id="1" w:name="_Toc147943860"/>
      <w:bookmarkStart w:id="2" w:name="_Toc16918"/>
      <w:bookmarkStart w:id="3" w:name="_Toc10475"/>
      <w:bookmarkStart w:id="4" w:name="_Toc17365"/>
      <w:r>
        <w:rPr>
          <w:rFonts w:ascii="宋体" w:hAnsi="宋体"/>
          <w:snapToGrid w:val="0"/>
          <w:color w:val="auto"/>
          <w:kern w:val="0"/>
          <w:sz w:val="28"/>
          <w:szCs w:val="28"/>
          <w:highlight w:val="none"/>
        </w:rPr>
        <w:t>附件2：</w:t>
      </w:r>
      <w:bookmarkEnd w:id="0"/>
      <w:bookmarkEnd w:id="1"/>
      <w:r>
        <w:rPr>
          <w:rFonts w:hint="eastAsia" w:ascii="宋体" w:hAnsi="宋体"/>
          <w:snapToGrid w:val="0"/>
          <w:color w:val="auto"/>
          <w:kern w:val="0"/>
          <w:sz w:val="28"/>
          <w:szCs w:val="28"/>
          <w:highlight w:val="none"/>
        </w:rPr>
        <w:t>评标办法</w:t>
      </w:r>
      <w:bookmarkEnd w:id="2"/>
      <w:bookmarkEnd w:id="3"/>
      <w:bookmarkEnd w:id="4"/>
    </w:p>
    <w:p w14:paraId="6EFE227B">
      <w:pPr>
        <w:adjustRightInd w:val="0"/>
        <w:snapToGrid w:val="0"/>
        <w:spacing w:line="360" w:lineRule="auto"/>
        <w:jc w:val="center"/>
        <w:textAlignment w:val="baseline"/>
        <w:rPr>
          <w:rFonts w:ascii="宋体" w:hAnsi="宋体"/>
          <w:b/>
          <w:bCs/>
          <w:snapToGrid w:val="0"/>
          <w:color w:val="auto"/>
          <w:kern w:val="0"/>
          <w:sz w:val="24"/>
          <w:highlight w:val="none"/>
        </w:rPr>
      </w:pPr>
      <w:bookmarkStart w:id="5" w:name="_Toc134792341"/>
      <w:bookmarkStart w:id="6" w:name="_Toc509659998"/>
      <w:bookmarkStart w:id="7" w:name="_Toc134890522"/>
      <w:bookmarkStart w:id="8" w:name="_Toc450319202"/>
      <w:bookmarkStart w:id="9" w:name="_Toc531949857"/>
      <w:bookmarkStart w:id="10" w:name="_Toc459307890"/>
      <w:bookmarkStart w:id="11" w:name="_Toc502992691"/>
      <w:bookmarkStart w:id="12" w:name="_Toc134792409"/>
      <w:bookmarkStart w:id="13" w:name="_Toc134890444"/>
      <w:bookmarkStart w:id="14" w:name="_Toc134792892"/>
      <w:bookmarkStart w:id="15" w:name="_Toc509660966"/>
      <w:bookmarkStart w:id="16" w:name="_Toc445382083"/>
      <w:bookmarkStart w:id="17" w:name="_Toc445222503"/>
      <w:bookmarkStart w:id="18" w:name="_Toc444271617"/>
      <w:bookmarkStart w:id="19" w:name="_Toc444088432"/>
      <w:r>
        <w:rPr>
          <w:rFonts w:ascii="宋体" w:hAnsi="宋体"/>
          <w:b/>
          <w:bCs/>
          <w:snapToGrid w:val="0"/>
          <w:color w:val="auto"/>
          <w:kern w:val="0"/>
          <w:sz w:val="24"/>
          <w:highlight w:val="none"/>
        </w:rPr>
        <w:t>评标办法（技术评分最低标价法）</w:t>
      </w:r>
      <w:bookmarkEnd w:id="5"/>
      <w:bookmarkEnd w:id="6"/>
      <w:bookmarkEnd w:id="7"/>
      <w:bookmarkEnd w:id="8"/>
      <w:bookmarkEnd w:id="9"/>
      <w:bookmarkEnd w:id="10"/>
      <w:bookmarkEnd w:id="11"/>
      <w:bookmarkEnd w:id="12"/>
      <w:bookmarkEnd w:id="13"/>
      <w:bookmarkEnd w:id="14"/>
      <w:bookmarkEnd w:id="15"/>
    </w:p>
    <w:bookmarkEnd w:id="16"/>
    <w:bookmarkEnd w:id="17"/>
    <w:bookmarkEnd w:id="18"/>
    <w:bookmarkEnd w:id="19"/>
    <w:p w14:paraId="65C47028">
      <w:pPr>
        <w:adjustRightInd w:val="0"/>
        <w:snapToGrid w:val="0"/>
        <w:spacing w:line="360" w:lineRule="auto"/>
        <w:jc w:val="center"/>
        <w:textAlignment w:val="baseline"/>
        <w:rPr>
          <w:rFonts w:ascii="宋体" w:hAnsi="宋体"/>
          <w:b/>
          <w:bCs/>
          <w:snapToGrid w:val="0"/>
          <w:color w:val="auto"/>
          <w:kern w:val="0"/>
          <w:sz w:val="24"/>
          <w:highlight w:val="none"/>
        </w:rPr>
      </w:pPr>
      <w:r>
        <w:rPr>
          <w:rFonts w:hint="eastAsia" w:ascii="宋体" w:hAnsi="宋体"/>
          <w:b/>
          <w:bCs/>
          <w:snapToGrid w:val="0"/>
          <w:color w:val="auto"/>
          <w:kern w:val="0"/>
          <w:sz w:val="24"/>
          <w:highlight w:val="none"/>
        </w:rPr>
        <w:t>评标办法</w:t>
      </w:r>
      <w:r>
        <w:rPr>
          <w:rFonts w:ascii="宋体" w:hAnsi="宋体"/>
          <w:b/>
          <w:bCs/>
          <w:snapToGrid w:val="0"/>
          <w:color w:val="auto"/>
          <w:kern w:val="0"/>
          <w:sz w:val="24"/>
          <w:highlight w:val="none"/>
        </w:rPr>
        <w:t>前附表</w:t>
      </w:r>
    </w:p>
    <w:tbl>
      <w:tblPr>
        <w:tblStyle w:val="11"/>
        <w:tblW w:w="9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43"/>
        <w:gridCol w:w="1317"/>
        <w:gridCol w:w="7197"/>
      </w:tblGrid>
      <w:tr w14:paraId="19D7A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19" w:hRule="atLeast"/>
          <w:tblHeader/>
          <w:jc w:val="center"/>
        </w:trPr>
        <w:tc>
          <w:tcPr>
            <w:tcW w:w="2460" w:type="dxa"/>
            <w:gridSpan w:val="2"/>
            <w:noWrap w:val="0"/>
            <w:vAlign w:val="center"/>
          </w:tcPr>
          <w:p w14:paraId="0C63BD4F">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条款号</w:t>
            </w:r>
          </w:p>
        </w:tc>
        <w:tc>
          <w:tcPr>
            <w:tcW w:w="7197" w:type="dxa"/>
            <w:noWrap w:val="0"/>
            <w:vAlign w:val="center"/>
          </w:tcPr>
          <w:p w14:paraId="61F2D9D2">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评审因素与标准</w:t>
            </w:r>
          </w:p>
        </w:tc>
      </w:tr>
      <w:tr w14:paraId="6E620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677" w:hRule="atLeast"/>
          <w:jc w:val="center"/>
        </w:trPr>
        <w:tc>
          <w:tcPr>
            <w:tcW w:w="1143" w:type="dxa"/>
            <w:noWrap w:val="0"/>
            <w:vAlign w:val="center"/>
          </w:tcPr>
          <w:p w14:paraId="4A66E8DE">
            <w:pPr>
              <w:snapToGrid w:val="0"/>
              <w:spacing w:line="240" w:lineRule="auto"/>
              <w:jc w:val="center"/>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1</w:t>
            </w:r>
          </w:p>
        </w:tc>
        <w:tc>
          <w:tcPr>
            <w:tcW w:w="1317" w:type="dxa"/>
            <w:noWrap w:val="0"/>
            <w:vAlign w:val="center"/>
          </w:tcPr>
          <w:p w14:paraId="2E75C0C1">
            <w:pPr>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评标办法</w:t>
            </w:r>
          </w:p>
        </w:tc>
        <w:tc>
          <w:tcPr>
            <w:tcW w:w="7197" w:type="dxa"/>
            <w:noWrap w:val="0"/>
            <w:vAlign w:val="center"/>
          </w:tcPr>
          <w:p w14:paraId="151C98D1">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本次评标采用技术评分最低标价法，双信封形式。</w:t>
            </w:r>
          </w:p>
          <w:p w14:paraId="3B1851C6">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评标委员会对满足招标文件实质性要求的投标文件第一个信封，按照本章第2.2款规定的评分标准进行打分，并按</w:t>
            </w:r>
            <w:r>
              <w:rPr>
                <w:rFonts w:hint="eastAsia" w:ascii="宋体" w:hAnsi="宋体" w:cs="宋体"/>
                <w:color w:val="auto"/>
                <w:sz w:val="24"/>
                <w:szCs w:val="24"/>
                <w:highlight w:val="none"/>
                <w:lang w:val="en-US" w:eastAsia="zh-CN"/>
              </w:rPr>
              <w:t>综合</w:t>
            </w:r>
            <w:r>
              <w:rPr>
                <w:rFonts w:hint="eastAsia" w:ascii="宋体" w:hAnsi="宋体" w:eastAsia="宋体" w:cs="宋体"/>
                <w:color w:val="auto"/>
                <w:sz w:val="24"/>
                <w:szCs w:val="24"/>
                <w:highlight w:val="none"/>
              </w:rPr>
              <w:t>得分由高到低顺序确定</w:t>
            </w:r>
            <w:r>
              <w:rPr>
                <w:rFonts w:hint="eastAsia" w:ascii="宋体" w:hAnsi="宋体" w:eastAsia="宋体" w:cs="宋体"/>
                <w:color w:val="auto"/>
                <w:sz w:val="24"/>
                <w:szCs w:val="24"/>
                <w:highlight w:val="none"/>
                <w:lang w:eastAsia="zh-CN"/>
              </w:rPr>
              <w:t>前</w:t>
            </w:r>
            <w:r>
              <w:rPr>
                <w:rFonts w:hint="eastAsia" w:ascii="宋体" w:hAnsi="宋体" w:eastAsia="宋体" w:cs="宋体"/>
                <w:color w:val="auto"/>
                <w:sz w:val="24"/>
                <w:szCs w:val="24"/>
                <w:highlight w:val="none"/>
              </w:rPr>
              <w:t>3名投标人进入第二个信封评审。若</w:t>
            </w:r>
            <w:r>
              <w:rPr>
                <w:rFonts w:hint="eastAsia" w:ascii="宋体" w:hAnsi="宋体" w:cs="宋体"/>
                <w:color w:val="auto"/>
                <w:sz w:val="24"/>
                <w:szCs w:val="24"/>
                <w:highlight w:val="none"/>
                <w:lang w:val="en-US" w:eastAsia="zh-CN"/>
              </w:rPr>
              <w:t>综合</w:t>
            </w:r>
            <w:r>
              <w:rPr>
                <w:rFonts w:hint="eastAsia" w:ascii="宋体" w:hAnsi="宋体" w:eastAsia="宋体" w:cs="宋体"/>
                <w:color w:val="auto"/>
                <w:sz w:val="24"/>
                <w:szCs w:val="24"/>
                <w:highlight w:val="none"/>
              </w:rPr>
              <w:t>得分相同，以技术</w:t>
            </w:r>
            <w:r>
              <w:rPr>
                <w:rFonts w:hint="eastAsia" w:ascii="宋体" w:hAnsi="宋体" w:cs="宋体"/>
                <w:color w:val="auto"/>
                <w:sz w:val="24"/>
                <w:szCs w:val="24"/>
                <w:highlight w:val="none"/>
                <w:lang w:val="en-US" w:eastAsia="zh-CN"/>
              </w:rPr>
              <w:t>部分</w:t>
            </w:r>
            <w:r>
              <w:rPr>
                <w:rFonts w:hint="eastAsia" w:ascii="宋体" w:hAnsi="宋体" w:eastAsia="宋体" w:cs="宋体"/>
                <w:color w:val="auto"/>
                <w:sz w:val="24"/>
                <w:szCs w:val="24"/>
                <w:highlight w:val="none"/>
              </w:rPr>
              <w:t>得分高的投标人优先</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技术</w:t>
            </w:r>
            <w:r>
              <w:rPr>
                <w:rFonts w:hint="eastAsia" w:ascii="宋体" w:hAnsi="宋体" w:cs="宋体"/>
                <w:color w:val="auto"/>
                <w:sz w:val="24"/>
                <w:szCs w:val="24"/>
                <w:highlight w:val="none"/>
                <w:lang w:val="en-US" w:eastAsia="zh-CN"/>
              </w:rPr>
              <w:t>部分</w:t>
            </w:r>
            <w:r>
              <w:rPr>
                <w:rFonts w:hint="eastAsia" w:ascii="宋体" w:hAnsi="宋体" w:eastAsia="宋体" w:cs="宋体"/>
                <w:color w:val="auto"/>
                <w:sz w:val="24"/>
                <w:szCs w:val="24"/>
                <w:highlight w:val="none"/>
                <w:lang w:val="en-US" w:eastAsia="zh-CN"/>
              </w:rPr>
              <w:t>得分也相同的，以</w:t>
            </w:r>
            <w:r>
              <w:rPr>
                <w:rFonts w:hint="eastAsia" w:ascii="宋体" w:hAnsi="宋体" w:eastAsia="宋体" w:cs="宋体"/>
                <w:color w:val="auto"/>
                <w:sz w:val="24"/>
                <w:szCs w:val="24"/>
                <w:highlight w:val="none"/>
              </w:rPr>
              <w:t>技术</w:t>
            </w:r>
            <w:r>
              <w:rPr>
                <w:rFonts w:hint="eastAsia" w:ascii="宋体" w:hAnsi="宋体" w:cs="宋体"/>
                <w:color w:val="auto"/>
                <w:sz w:val="24"/>
                <w:szCs w:val="24"/>
                <w:highlight w:val="none"/>
                <w:lang w:val="en-US" w:eastAsia="zh-CN"/>
              </w:rPr>
              <w:t>部分（明标）</w:t>
            </w:r>
            <w:r>
              <w:rPr>
                <w:rFonts w:hint="eastAsia" w:ascii="宋体" w:hAnsi="宋体" w:eastAsia="宋体" w:cs="宋体"/>
                <w:color w:val="auto"/>
                <w:sz w:val="24"/>
                <w:szCs w:val="24"/>
                <w:highlight w:val="none"/>
              </w:rPr>
              <w:t>得分高的投标人优先</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技术</w:t>
            </w:r>
            <w:r>
              <w:rPr>
                <w:rFonts w:hint="eastAsia" w:ascii="宋体" w:hAnsi="宋体" w:cs="宋体"/>
                <w:color w:val="auto"/>
                <w:sz w:val="24"/>
                <w:szCs w:val="24"/>
                <w:highlight w:val="none"/>
                <w:lang w:val="en-US" w:eastAsia="zh-CN"/>
              </w:rPr>
              <w:t>部分（明标）</w:t>
            </w:r>
            <w:r>
              <w:rPr>
                <w:rFonts w:hint="eastAsia" w:ascii="宋体" w:hAnsi="宋体" w:eastAsia="宋体" w:cs="宋体"/>
                <w:color w:val="auto"/>
                <w:sz w:val="24"/>
                <w:szCs w:val="24"/>
                <w:highlight w:val="none"/>
              </w:rPr>
              <w:t>得分</w:t>
            </w:r>
            <w:r>
              <w:rPr>
                <w:rFonts w:hint="eastAsia" w:ascii="宋体" w:hAnsi="宋体" w:eastAsia="宋体" w:cs="宋体"/>
                <w:color w:val="auto"/>
                <w:sz w:val="24"/>
                <w:szCs w:val="24"/>
                <w:highlight w:val="none"/>
                <w:lang w:eastAsia="zh-CN"/>
              </w:rPr>
              <w:t>也相同的，</w:t>
            </w:r>
            <w:r>
              <w:rPr>
                <w:rFonts w:hint="eastAsia" w:ascii="宋体" w:hAnsi="宋体" w:cs="宋体"/>
                <w:color w:val="auto"/>
                <w:sz w:val="24"/>
                <w:szCs w:val="24"/>
                <w:highlight w:val="none"/>
                <w:lang w:eastAsia="zh-CN"/>
              </w:rPr>
              <w:t>以</w:t>
            </w:r>
            <w:r>
              <w:rPr>
                <w:rFonts w:hint="eastAsia" w:ascii="宋体" w:hAnsi="宋体" w:eastAsia="宋体" w:cs="宋体"/>
                <w:color w:val="auto"/>
                <w:sz w:val="24"/>
                <w:szCs w:val="24"/>
                <w:highlight w:val="none"/>
              </w:rPr>
              <w:t>满足资格审查</w:t>
            </w:r>
            <w:r>
              <w:rPr>
                <w:rFonts w:hint="eastAsia" w:ascii="宋体" w:hAnsi="宋体" w:eastAsia="宋体" w:cs="宋体"/>
                <w:color w:val="auto"/>
                <w:sz w:val="24"/>
                <w:szCs w:val="24"/>
                <w:highlight w:val="none"/>
                <w:lang w:eastAsia="zh-CN"/>
              </w:rPr>
              <w:t>条件（</w:t>
            </w:r>
            <w:r>
              <w:rPr>
                <w:rFonts w:hint="eastAsia" w:ascii="宋体" w:hAnsi="宋体" w:eastAsia="宋体" w:cs="宋体"/>
                <w:color w:val="auto"/>
                <w:sz w:val="24"/>
                <w:szCs w:val="24"/>
                <w:highlight w:val="none"/>
              </w:rPr>
              <w:t>业绩最低要求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累计</w:t>
            </w:r>
            <w:r>
              <w:rPr>
                <w:rFonts w:hint="eastAsia" w:ascii="宋体" w:hAnsi="宋体" w:eastAsia="宋体" w:cs="宋体"/>
                <w:color w:val="auto"/>
                <w:sz w:val="24"/>
                <w:szCs w:val="24"/>
                <w:highlight w:val="none"/>
                <w:lang w:val="en-US" w:eastAsia="zh-CN"/>
              </w:rPr>
              <w:t>合同金额高的</w:t>
            </w:r>
            <w:r>
              <w:rPr>
                <w:rFonts w:hint="eastAsia" w:ascii="宋体" w:hAnsi="宋体" w:eastAsia="宋体" w:cs="宋体"/>
                <w:color w:val="auto"/>
                <w:sz w:val="24"/>
                <w:szCs w:val="24"/>
                <w:highlight w:val="none"/>
              </w:rPr>
              <w:t>投标人优先。未通过第一信封评审</w:t>
            </w:r>
            <w:r>
              <w:rPr>
                <w:rFonts w:hint="eastAsia" w:ascii="宋体" w:hAnsi="宋体" w:eastAsia="宋体" w:cs="宋体"/>
                <w:color w:val="auto"/>
                <w:sz w:val="24"/>
                <w:szCs w:val="24"/>
                <w:highlight w:val="none"/>
                <w:lang w:val="en-US" w:eastAsia="zh-CN"/>
              </w:rPr>
              <w:t>或</w:t>
            </w:r>
            <w:r>
              <w:rPr>
                <w:rFonts w:hint="eastAsia" w:ascii="宋体" w:hAnsi="宋体" w:cs="宋体"/>
                <w:color w:val="auto"/>
                <w:sz w:val="24"/>
                <w:szCs w:val="24"/>
                <w:highlight w:val="none"/>
                <w:lang w:val="en-US" w:eastAsia="zh-CN"/>
              </w:rPr>
              <w:t>综合得分</w:t>
            </w:r>
            <w:r>
              <w:rPr>
                <w:rFonts w:hint="eastAsia" w:ascii="宋体" w:hAnsi="宋体" w:eastAsia="宋体" w:cs="宋体"/>
                <w:color w:val="auto"/>
                <w:sz w:val="24"/>
                <w:szCs w:val="24"/>
                <w:highlight w:val="none"/>
              </w:rPr>
              <w:t>未进入前3名的投标人，其第二信</w:t>
            </w:r>
            <w:r>
              <w:rPr>
                <w:rFonts w:hint="eastAsia" w:ascii="宋体" w:hAnsi="宋体" w:cs="宋体"/>
                <w:color w:val="auto"/>
                <w:sz w:val="24"/>
                <w:szCs w:val="24"/>
                <w:highlight w:val="none"/>
                <w:lang w:val="en-US" w:eastAsia="zh-CN"/>
              </w:rPr>
              <w:t>封在整个评标期间不再开封，不随任何因素发生变化</w:t>
            </w:r>
            <w:r>
              <w:rPr>
                <w:rFonts w:hint="eastAsia" w:ascii="宋体" w:hAnsi="宋体" w:eastAsia="宋体" w:cs="宋体"/>
                <w:color w:val="auto"/>
                <w:sz w:val="24"/>
                <w:szCs w:val="24"/>
                <w:highlight w:val="none"/>
              </w:rPr>
              <w:t>。</w:t>
            </w:r>
          </w:p>
          <w:p w14:paraId="33192410">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评标委员会按评标价由低到高的顺序，向招标人推荐1-3名中标候选人。</w:t>
            </w:r>
          </w:p>
          <w:p w14:paraId="1D7A7122">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评标价相等时，评标委员会依次按照以下优先顺序推荐中标候选人：</w:t>
            </w:r>
          </w:p>
          <w:p w14:paraId="076CD08E">
            <w:pPr>
              <w:numPr>
                <w:ilvl w:val="0"/>
                <w:numId w:val="2"/>
              </w:num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第一个信封技术</w:t>
            </w:r>
            <w:r>
              <w:rPr>
                <w:rFonts w:hint="eastAsia" w:ascii="宋体" w:hAnsi="宋体" w:cs="宋体"/>
                <w:color w:val="auto"/>
                <w:sz w:val="24"/>
                <w:szCs w:val="24"/>
                <w:highlight w:val="none"/>
                <w:lang w:eastAsia="zh-CN"/>
              </w:rPr>
              <w:t>部分</w:t>
            </w:r>
            <w:r>
              <w:rPr>
                <w:rFonts w:hint="eastAsia" w:ascii="宋体" w:hAnsi="宋体" w:eastAsia="宋体" w:cs="宋体"/>
                <w:color w:val="auto"/>
                <w:sz w:val="24"/>
                <w:szCs w:val="24"/>
                <w:highlight w:val="none"/>
              </w:rPr>
              <w:t>得分较高的投标人优先；</w:t>
            </w:r>
          </w:p>
          <w:p w14:paraId="5BFF5504">
            <w:pPr>
              <w:numPr>
                <w:ilvl w:val="0"/>
                <w:numId w:val="2"/>
              </w:numPr>
              <w:snapToGrid w:val="0"/>
              <w:spacing w:line="240" w:lineRule="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第一个信封</w:t>
            </w:r>
            <w:r>
              <w:rPr>
                <w:rFonts w:hint="eastAsia" w:ascii="宋体" w:hAnsi="宋体" w:eastAsia="宋体" w:cs="宋体"/>
                <w:color w:val="auto"/>
                <w:sz w:val="24"/>
                <w:szCs w:val="24"/>
                <w:highlight w:val="none"/>
              </w:rPr>
              <w:t>技术</w:t>
            </w:r>
            <w:r>
              <w:rPr>
                <w:rFonts w:hint="eastAsia" w:ascii="宋体" w:hAnsi="宋体" w:cs="宋体"/>
                <w:color w:val="auto"/>
                <w:sz w:val="24"/>
                <w:szCs w:val="24"/>
                <w:highlight w:val="none"/>
                <w:lang w:eastAsia="zh-CN"/>
              </w:rPr>
              <w:t>部分（明标）得分较高的</w:t>
            </w:r>
            <w:r>
              <w:rPr>
                <w:rFonts w:hint="eastAsia" w:ascii="宋体" w:hAnsi="宋体" w:eastAsia="宋体" w:cs="宋体"/>
                <w:color w:val="auto"/>
                <w:sz w:val="24"/>
                <w:szCs w:val="24"/>
                <w:highlight w:val="none"/>
              </w:rPr>
              <w:t>投标人</w:t>
            </w:r>
            <w:r>
              <w:rPr>
                <w:rFonts w:hint="eastAsia" w:ascii="宋体" w:hAnsi="宋体" w:cs="宋体"/>
                <w:color w:val="auto"/>
                <w:sz w:val="24"/>
                <w:szCs w:val="24"/>
                <w:highlight w:val="none"/>
                <w:lang w:eastAsia="zh-CN"/>
              </w:rPr>
              <w:t>优先；</w:t>
            </w:r>
          </w:p>
          <w:p w14:paraId="280BA8FF">
            <w:pPr>
              <w:snapToGrid w:val="0"/>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）满足资格审查</w:t>
            </w:r>
            <w:r>
              <w:rPr>
                <w:rFonts w:hint="eastAsia" w:ascii="宋体" w:hAnsi="宋体" w:eastAsia="宋体" w:cs="宋体"/>
                <w:color w:val="auto"/>
                <w:sz w:val="24"/>
                <w:szCs w:val="24"/>
                <w:highlight w:val="none"/>
                <w:lang w:eastAsia="zh-CN"/>
              </w:rPr>
              <w:t>条件（</w:t>
            </w:r>
            <w:r>
              <w:rPr>
                <w:rFonts w:hint="eastAsia" w:ascii="宋体" w:hAnsi="宋体" w:eastAsia="宋体" w:cs="宋体"/>
                <w:color w:val="auto"/>
                <w:sz w:val="24"/>
                <w:szCs w:val="24"/>
                <w:highlight w:val="none"/>
              </w:rPr>
              <w:t>业绩最低要求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累计</w:t>
            </w:r>
            <w:r>
              <w:rPr>
                <w:rFonts w:hint="eastAsia" w:ascii="宋体" w:hAnsi="宋体" w:eastAsia="宋体" w:cs="宋体"/>
                <w:color w:val="auto"/>
                <w:sz w:val="24"/>
                <w:szCs w:val="24"/>
                <w:highlight w:val="none"/>
                <w:lang w:val="en-US" w:eastAsia="zh-CN"/>
              </w:rPr>
              <w:t>合同金额高</w:t>
            </w:r>
            <w:r>
              <w:rPr>
                <w:rFonts w:hint="eastAsia" w:ascii="宋体" w:hAnsi="宋体" w:eastAsia="宋体" w:cs="宋体"/>
                <w:color w:val="auto"/>
                <w:sz w:val="24"/>
                <w:szCs w:val="24"/>
                <w:highlight w:val="none"/>
              </w:rPr>
              <w:t>的投标人优先；</w:t>
            </w:r>
          </w:p>
        </w:tc>
      </w:tr>
      <w:tr w14:paraId="0F985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20" w:hRule="atLeast"/>
          <w:jc w:val="center"/>
        </w:trPr>
        <w:tc>
          <w:tcPr>
            <w:tcW w:w="1143" w:type="dxa"/>
            <w:noWrap w:val="0"/>
            <w:vAlign w:val="center"/>
          </w:tcPr>
          <w:p w14:paraId="0129EE1D">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w:t>
            </w:r>
          </w:p>
          <w:p w14:paraId="6736A365">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2.1.3</w:t>
            </w:r>
          </w:p>
        </w:tc>
        <w:tc>
          <w:tcPr>
            <w:tcW w:w="1317" w:type="dxa"/>
            <w:noWrap w:val="0"/>
            <w:vAlign w:val="center"/>
          </w:tcPr>
          <w:p w14:paraId="3321A62A">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形式评审与响应性评审标准</w:t>
            </w:r>
          </w:p>
        </w:tc>
        <w:tc>
          <w:tcPr>
            <w:tcW w:w="7197" w:type="dxa"/>
            <w:noWrap w:val="0"/>
            <w:vAlign w:val="center"/>
          </w:tcPr>
          <w:p w14:paraId="06847FDC">
            <w:pPr>
              <w:snapToGrid w:val="0"/>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第一个信封（商务</w:t>
            </w:r>
            <w:r>
              <w:rPr>
                <w:rFonts w:hint="eastAsia" w:ascii="宋体" w:hAnsi="宋体" w:cs="宋体"/>
                <w:b/>
                <w:bCs/>
                <w:color w:val="auto"/>
                <w:sz w:val="24"/>
                <w:szCs w:val="24"/>
                <w:highlight w:val="none"/>
                <w:lang w:eastAsia="zh-CN"/>
              </w:rPr>
              <w:t>及技术</w:t>
            </w:r>
            <w:r>
              <w:rPr>
                <w:rFonts w:hint="eastAsia" w:ascii="宋体" w:hAnsi="宋体" w:eastAsia="宋体" w:cs="宋体"/>
                <w:b/>
                <w:bCs/>
                <w:color w:val="auto"/>
                <w:sz w:val="24"/>
                <w:szCs w:val="24"/>
                <w:highlight w:val="none"/>
              </w:rPr>
              <w:t>文件）评审标准：</w:t>
            </w:r>
          </w:p>
          <w:p w14:paraId="5CCE8DC2">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（1）投标文件按照招标文件规定的格式、内容填写，字迹清晰可辨：</w:t>
            </w:r>
          </w:p>
          <w:p w14:paraId="356ACE58">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a.投标函按照招标文件规定填报了招标人名称、项目名称</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补遗书编号（如有）、交货地点、交货期</w:t>
            </w:r>
            <w:r>
              <w:rPr>
                <w:rFonts w:hint="eastAsia" w:ascii="宋体" w:hAnsi="宋体" w:cs="宋体"/>
                <w:color w:val="auto"/>
                <w:sz w:val="24"/>
                <w:szCs w:val="24"/>
                <w:highlight w:val="none"/>
                <w:lang w:val="en-US" w:eastAsia="zh-CN"/>
              </w:rPr>
              <w:t>和质量标准</w:t>
            </w:r>
            <w:r>
              <w:rPr>
                <w:rFonts w:hint="eastAsia" w:ascii="宋体" w:hAnsi="宋体" w:eastAsia="宋体" w:cs="宋体"/>
                <w:color w:val="auto"/>
                <w:sz w:val="24"/>
                <w:szCs w:val="24"/>
                <w:highlight w:val="none"/>
              </w:rPr>
              <w:t>；</w:t>
            </w:r>
          </w:p>
          <w:p w14:paraId="39AEEC99">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b.投标文件组成齐全完整，内容均按规定填写；</w:t>
            </w:r>
          </w:p>
          <w:p w14:paraId="2C621335">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（2）投标文件上法定代表人或其委托代理人的签字、投标人的单位章盖章齐全，符合招标文件规定：</w:t>
            </w:r>
          </w:p>
          <w:p w14:paraId="4525D239">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（3）投标人按照招标文件的规定提供了投标保证金，满足投标人须知3.4.1规定。</w:t>
            </w:r>
          </w:p>
          <w:p w14:paraId="3F75936D">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（4）投标人法定代表人授权委托代理人签署投标文件的，须提交授权委托书，授权委托书的签字盖章符合招标文件规定。</w:t>
            </w:r>
          </w:p>
          <w:p w14:paraId="67E16511">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（5）投标人法定代表人亲自签署投标文件的，提供了法定代表人身份证明,法定代表人身份证明的签字盖章符合招标文件规定。</w:t>
            </w:r>
          </w:p>
          <w:p w14:paraId="1EE7DAEE">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（6）投标人未以联合体形式投标。</w:t>
            </w:r>
          </w:p>
          <w:p w14:paraId="432BFD58">
            <w:pPr>
              <w:snapToGrid w:val="0"/>
              <w:spacing w:line="240" w:lineRule="auto"/>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（7）投标人未对本项目进行分包。</w:t>
            </w:r>
          </w:p>
          <w:p w14:paraId="1D0501B8">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（8）同一投标人未</w:t>
            </w:r>
            <w:r>
              <w:rPr>
                <w:rFonts w:hint="eastAsia" w:ascii="宋体" w:hAnsi="宋体" w:cs="宋体"/>
                <w:color w:val="auto"/>
                <w:sz w:val="24"/>
                <w:szCs w:val="24"/>
                <w:highlight w:val="none"/>
                <w:lang w:val="en-US" w:eastAsia="zh-CN"/>
              </w:rPr>
              <w:t>对同一标段</w:t>
            </w:r>
            <w:r>
              <w:rPr>
                <w:rFonts w:hint="eastAsia" w:ascii="宋体" w:hAnsi="宋体" w:eastAsia="宋体" w:cs="宋体"/>
                <w:color w:val="auto"/>
                <w:sz w:val="24"/>
                <w:szCs w:val="24"/>
                <w:highlight w:val="none"/>
              </w:rPr>
              <w:t>提交两个以上不同的投标文件。</w:t>
            </w:r>
          </w:p>
          <w:p w14:paraId="6AF6FD7D">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（9）投标文件中未出现有关投标报价的内容。</w:t>
            </w:r>
          </w:p>
          <w:p w14:paraId="154A37D9">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（10）投标文件载明的招标项目完成期限未超过招标文件规定的时限。</w:t>
            </w:r>
          </w:p>
          <w:p w14:paraId="3F16ACC6">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）投标文件对招标文件的实质性要求和条件作出响应。</w:t>
            </w:r>
          </w:p>
          <w:p w14:paraId="66F4C219">
            <w:pPr>
              <w:snapToGrid w:val="0"/>
              <w:spacing w:line="240" w:lineRule="auto"/>
              <w:rPr>
                <w:rFonts w:hint="eastAsia" w:ascii="宋体" w:hAnsi="宋体" w:eastAsia="宋体" w:cs="宋体"/>
                <w:strike w:val="0"/>
                <w:dstrike w:val="0"/>
                <w:color w:val="auto"/>
                <w:sz w:val="24"/>
                <w:szCs w:val="24"/>
                <w:highlight w:val="none"/>
                <w:lang w:eastAsia="zh-CN"/>
              </w:rPr>
            </w:pPr>
            <w:r>
              <w:rPr>
                <w:rFonts w:hint="eastAsia" w:ascii="宋体" w:hAnsi="宋体" w:eastAsia="宋体" w:cs="宋体"/>
                <w:strike w:val="0"/>
                <w:dstrike w:val="0"/>
                <w:color w:val="auto"/>
                <w:sz w:val="24"/>
                <w:szCs w:val="24"/>
                <w:highlight w:val="none"/>
              </w:rPr>
              <w:t>（1</w:t>
            </w:r>
            <w:r>
              <w:rPr>
                <w:rFonts w:hint="eastAsia" w:ascii="宋体" w:hAnsi="宋体" w:cs="宋体"/>
                <w:strike w:val="0"/>
                <w:dstrike w:val="0"/>
                <w:color w:val="auto"/>
                <w:sz w:val="24"/>
                <w:szCs w:val="24"/>
                <w:highlight w:val="none"/>
                <w:lang w:val="en-US" w:eastAsia="zh-CN"/>
              </w:rPr>
              <w:t>2</w:t>
            </w:r>
            <w:r>
              <w:rPr>
                <w:rFonts w:hint="eastAsia" w:ascii="宋体" w:hAnsi="宋体" w:eastAsia="宋体" w:cs="宋体"/>
                <w:strike w:val="0"/>
                <w:dstrike w:val="0"/>
                <w:color w:val="auto"/>
                <w:sz w:val="24"/>
                <w:szCs w:val="24"/>
                <w:highlight w:val="none"/>
              </w:rPr>
              <w:t>）投标文件中投标设备的主要技术指标满足招标文件（</w:t>
            </w:r>
            <w:r>
              <w:rPr>
                <w:rFonts w:hint="eastAsia" w:ascii="宋体" w:hAnsi="宋体" w:cs="宋体"/>
                <w:strike w:val="0"/>
                <w:dstrike w:val="0"/>
                <w:color w:val="auto"/>
                <w:sz w:val="24"/>
                <w:szCs w:val="24"/>
                <w:highlight w:val="none"/>
                <w:lang w:val="en-US" w:eastAsia="zh-CN"/>
              </w:rPr>
              <w:t>供货要求中</w:t>
            </w:r>
            <w:r>
              <w:rPr>
                <w:rFonts w:hint="eastAsia" w:ascii="宋体" w:hAnsi="宋体" w:eastAsia="宋体" w:cs="宋体"/>
                <w:strike w:val="0"/>
                <w:dstrike w:val="0"/>
                <w:color w:val="auto"/>
                <w:sz w:val="24"/>
                <w:szCs w:val="24"/>
                <w:highlight w:val="none"/>
              </w:rPr>
              <w:t>带</w:t>
            </w:r>
            <w:r>
              <w:rPr>
                <w:rFonts w:hint="eastAsia" w:cs="宋体"/>
                <w:strike w:val="0"/>
                <w:dstrike w:val="0"/>
                <w:color w:val="auto"/>
                <w:sz w:val="24"/>
                <w:szCs w:val="24"/>
                <w:highlight w:val="none"/>
                <w:lang w:val="en-US" w:eastAsia="zh-CN"/>
              </w:rPr>
              <w:t>★</w:t>
            </w:r>
            <w:r>
              <w:rPr>
                <w:rFonts w:hint="eastAsia" w:ascii="宋体" w:hAnsi="宋体" w:eastAsia="宋体" w:cs="宋体"/>
                <w:strike w:val="0"/>
                <w:dstrike w:val="0"/>
                <w:color w:val="auto"/>
                <w:sz w:val="24"/>
                <w:szCs w:val="24"/>
                <w:highlight w:val="none"/>
              </w:rPr>
              <w:t>的条款）的要求</w:t>
            </w:r>
            <w:r>
              <w:rPr>
                <w:rFonts w:hint="eastAsia" w:ascii="宋体" w:hAnsi="宋体" w:cs="宋体"/>
                <w:strike w:val="0"/>
                <w:dstrike w:val="0"/>
                <w:color w:val="auto"/>
                <w:sz w:val="24"/>
                <w:szCs w:val="24"/>
                <w:highlight w:val="none"/>
                <w:lang w:eastAsia="zh-CN"/>
              </w:rPr>
              <w:t>，</w:t>
            </w:r>
            <w:r>
              <w:rPr>
                <w:rFonts w:hint="eastAsia" w:ascii="宋体" w:hAnsi="宋体" w:cs="宋体"/>
                <w:strike w:val="0"/>
                <w:dstrike w:val="0"/>
                <w:color w:val="auto"/>
                <w:sz w:val="24"/>
                <w:szCs w:val="24"/>
                <w:highlight w:val="none"/>
                <w:lang w:val="en-US" w:eastAsia="zh-CN"/>
              </w:rPr>
              <w:t>并按照招标文件1.11.3款规定提供相关材料</w:t>
            </w:r>
            <w:r>
              <w:rPr>
                <w:rFonts w:hint="eastAsia" w:ascii="宋体" w:hAnsi="宋体" w:eastAsia="宋体" w:cs="宋体"/>
                <w:strike w:val="0"/>
                <w:dstrike w:val="0"/>
                <w:color w:val="auto"/>
                <w:sz w:val="24"/>
                <w:szCs w:val="24"/>
                <w:highlight w:val="none"/>
              </w:rPr>
              <w:t>。</w:t>
            </w:r>
          </w:p>
          <w:p w14:paraId="4E1E1D5C">
            <w:pPr>
              <w:snapToGrid w:val="0"/>
              <w:spacing w:line="240" w:lineRule="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（1</w:t>
            </w:r>
            <w:r>
              <w:rPr>
                <w:rFonts w:hint="eastAsia" w:ascii="宋体" w:hAnsi="宋体" w:cs="宋体"/>
                <w:strike w:val="0"/>
                <w:dstrike w:val="0"/>
                <w:color w:val="auto"/>
                <w:sz w:val="24"/>
                <w:szCs w:val="24"/>
                <w:highlight w:val="none"/>
                <w:lang w:val="en-US" w:eastAsia="zh-CN"/>
              </w:rPr>
              <w:t>3</w:t>
            </w:r>
            <w:r>
              <w:rPr>
                <w:rFonts w:hint="eastAsia" w:ascii="宋体" w:hAnsi="宋体" w:eastAsia="宋体" w:cs="宋体"/>
                <w:strike w:val="0"/>
                <w:dstrike w:val="0"/>
                <w:color w:val="auto"/>
                <w:sz w:val="24"/>
                <w:szCs w:val="24"/>
                <w:highlight w:val="none"/>
              </w:rPr>
              <w:t>）权利义务符合招标文件规定：</w:t>
            </w:r>
          </w:p>
          <w:p w14:paraId="69F48319">
            <w:pPr>
              <w:snapToGrid w:val="0"/>
              <w:spacing w:line="240" w:lineRule="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a．投标人应接受招标文件规定的风险划分原则，未提出新的风险划分办法；</w:t>
            </w:r>
          </w:p>
          <w:p w14:paraId="1ACEAD40">
            <w:pPr>
              <w:snapToGrid w:val="0"/>
              <w:spacing w:line="240" w:lineRule="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b．投标人未增加发包人的责任范围，或减少投标人义务；</w:t>
            </w:r>
          </w:p>
          <w:p w14:paraId="1D58A522">
            <w:pPr>
              <w:snapToGrid w:val="0"/>
              <w:spacing w:line="240" w:lineRule="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c．投标人未提出不同的验收、计量、支付办法；</w:t>
            </w:r>
          </w:p>
          <w:p w14:paraId="2DEFB7CD">
            <w:pPr>
              <w:snapToGrid w:val="0"/>
              <w:spacing w:line="240" w:lineRule="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d．投标人对合同纠纷、事故处理办法未提出异议；</w:t>
            </w:r>
          </w:p>
          <w:p w14:paraId="63A19FA3">
            <w:pPr>
              <w:snapToGrid w:val="0"/>
              <w:spacing w:line="240" w:lineRule="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e．投标人在投标活动中无欺诈行为；</w:t>
            </w:r>
          </w:p>
          <w:p w14:paraId="16BF593C">
            <w:pPr>
              <w:snapToGrid w:val="0"/>
              <w:spacing w:line="320" w:lineRule="exact"/>
              <w:jc w:val="left"/>
              <w:textAlignment w:val="baseline"/>
              <w:rPr>
                <w:rFonts w:hint="eastAsia" w:ascii="宋体" w:hAnsi="宋体" w:cs="宋体"/>
                <w:strike w:val="0"/>
                <w:dstrike w:val="0"/>
                <w:color w:val="auto"/>
                <w:kern w:val="0"/>
                <w:szCs w:val="21"/>
                <w:highlight w:val="none"/>
              </w:rPr>
            </w:pPr>
            <w:r>
              <w:rPr>
                <w:rFonts w:hint="eastAsia" w:ascii="宋体" w:hAnsi="宋体" w:eastAsia="宋体" w:cs="宋体"/>
                <w:strike w:val="0"/>
                <w:dstrike w:val="0"/>
                <w:color w:val="auto"/>
                <w:sz w:val="24"/>
                <w:szCs w:val="24"/>
                <w:highlight w:val="none"/>
              </w:rPr>
              <w:t>f．投标人未对合同条款有重要保留</w:t>
            </w:r>
            <w:r>
              <w:rPr>
                <w:rFonts w:hint="eastAsia" w:ascii="宋体" w:hAnsi="宋体" w:cs="宋体"/>
                <w:strike w:val="0"/>
                <w:dstrike w:val="0"/>
                <w:color w:val="auto"/>
                <w:sz w:val="24"/>
                <w:szCs w:val="24"/>
                <w:highlight w:val="none"/>
                <w:lang w:eastAsia="zh-CN"/>
              </w:rPr>
              <w:t>。</w:t>
            </w:r>
            <w:r>
              <w:rPr>
                <w:rFonts w:hint="eastAsia" w:ascii="宋体" w:hAnsi="宋体" w:cs="宋体"/>
                <w:strike w:val="0"/>
                <w:dstrike w:val="0"/>
                <w:color w:val="auto"/>
                <w:kern w:val="0"/>
                <w:szCs w:val="21"/>
                <w:highlight w:val="none"/>
              </w:rPr>
              <w:t xml:space="preserve"> </w:t>
            </w:r>
          </w:p>
          <w:p w14:paraId="0199018F">
            <w:pPr>
              <w:snapToGrid w:val="0"/>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第一个信封（技术文件）评审标准： </w:t>
            </w:r>
          </w:p>
          <w:p w14:paraId="2C7BB2F6">
            <w:pPr>
              <w:widowControl/>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技术</w:t>
            </w:r>
            <w:r>
              <w:rPr>
                <w:rFonts w:hint="eastAsia" w:ascii="宋体" w:hAnsi="宋体" w:cs="宋体"/>
                <w:color w:val="auto"/>
                <w:sz w:val="24"/>
                <w:szCs w:val="24"/>
                <w:highlight w:val="none"/>
                <w:lang w:val="en-US" w:eastAsia="zh-CN"/>
              </w:rPr>
              <w:t>部分</w:t>
            </w:r>
            <w:r>
              <w:rPr>
                <w:rFonts w:hint="eastAsia" w:ascii="宋体" w:hAnsi="宋体" w:eastAsia="宋体" w:cs="宋体"/>
                <w:color w:val="auto"/>
                <w:sz w:val="24"/>
                <w:szCs w:val="24"/>
                <w:highlight w:val="none"/>
                <w:lang w:val="en-US" w:eastAsia="zh-CN"/>
              </w:rPr>
              <w:t>（暗标）编制符合招标文件第二章“投标人须知”第 10.</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 xml:space="preserve"> 款的规定。</w:t>
            </w:r>
          </w:p>
          <w:p w14:paraId="14518285">
            <w:pPr>
              <w:snapToGrid w:val="0"/>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第二个信封（报价文件）评审标准：</w:t>
            </w:r>
          </w:p>
          <w:p w14:paraId="01BCDAA1">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（1）投标文件按照招标文件规定的格式、内容填写，字迹清晰可辨：</w:t>
            </w:r>
          </w:p>
          <w:p w14:paraId="454962E8">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a.投标函按照招标文件规定填报了招标人名称、项目名称</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补遗书编号（如有）、投标</w:t>
            </w:r>
            <w:r>
              <w:rPr>
                <w:rFonts w:hint="eastAsia" w:ascii="宋体" w:hAnsi="宋体" w:cs="宋体"/>
                <w:color w:val="auto"/>
                <w:sz w:val="24"/>
                <w:szCs w:val="24"/>
                <w:highlight w:val="none"/>
                <w:lang w:eastAsia="zh-CN"/>
              </w:rPr>
              <w:t>报</w:t>
            </w:r>
            <w:r>
              <w:rPr>
                <w:rFonts w:hint="eastAsia" w:ascii="宋体" w:hAnsi="宋体" w:eastAsia="宋体" w:cs="宋体"/>
                <w:color w:val="auto"/>
                <w:sz w:val="24"/>
                <w:szCs w:val="24"/>
                <w:highlight w:val="none"/>
              </w:rPr>
              <w:t>价（包括大写金额和小写金额）；</w:t>
            </w:r>
          </w:p>
          <w:p w14:paraId="545C6702">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b.投标文件组成齐全完整，内容均按规定填写。</w:t>
            </w:r>
          </w:p>
          <w:p w14:paraId="0679942F">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（2）投标文件上法定代表人或委托代理人的签字、投标人的单位章盖章齐全，符合招标文件规定。</w:t>
            </w:r>
          </w:p>
          <w:p w14:paraId="09517EBF">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（3）投标报价未超过招标文件设定</w:t>
            </w:r>
            <w:r>
              <w:rPr>
                <w:rFonts w:hint="eastAsia" w:ascii="宋体" w:hAnsi="宋体" w:cs="宋体"/>
                <w:color w:val="auto"/>
                <w:sz w:val="24"/>
                <w:szCs w:val="24"/>
                <w:highlight w:val="none"/>
                <w:lang w:val="en-US" w:eastAsia="zh-CN"/>
              </w:rPr>
              <w:t>的</w:t>
            </w:r>
            <w:r>
              <w:rPr>
                <w:rFonts w:hint="eastAsia" w:ascii="宋体" w:hAnsi="宋体" w:eastAsia="宋体" w:cs="宋体"/>
                <w:color w:val="auto"/>
                <w:sz w:val="24"/>
                <w:szCs w:val="24"/>
                <w:highlight w:val="none"/>
              </w:rPr>
              <w:t>最高</w:t>
            </w:r>
            <w:r>
              <w:rPr>
                <w:rFonts w:hint="eastAsia" w:ascii="宋体" w:hAnsi="宋体" w:cs="宋体"/>
                <w:color w:val="auto"/>
                <w:sz w:val="24"/>
                <w:szCs w:val="24"/>
                <w:highlight w:val="none"/>
                <w:lang w:val="en-US" w:eastAsia="zh-CN"/>
              </w:rPr>
              <w:t>投标</w:t>
            </w:r>
            <w:r>
              <w:rPr>
                <w:rFonts w:hint="eastAsia" w:ascii="宋体" w:hAnsi="宋体" w:eastAsia="宋体" w:cs="宋体"/>
                <w:color w:val="auto"/>
                <w:sz w:val="24"/>
                <w:szCs w:val="24"/>
                <w:highlight w:val="none"/>
              </w:rPr>
              <w:t>限价。</w:t>
            </w:r>
          </w:p>
          <w:p w14:paraId="4C36118B">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（4）投标报价的大写金额能够确定具体数值。</w:t>
            </w:r>
          </w:p>
          <w:p w14:paraId="7E47AA30">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（5）同一投标人未提交两个</w:t>
            </w:r>
            <w:r>
              <w:rPr>
                <w:rFonts w:hint="eastAsia" w:ascii="宋体" w:hAnsi="宋体" w:cs="宋体"/>
                <w:color w:val="auto"/>
                <w:sz w:val="24"/>
                <w:szCs w:val="24"/>
                <w:highlight w:val="none"/>
                <w:lang w:val="en-US" w:eastAsia="zh-CN"/>
              </w:rPr>
              <w:t>及</w:t>
            </w:r>
            <w:r>
              <w:rPr>
                <w:rFonts w:hint="eastAsia" w:ascii="宋体" w:hAnsi="宋体" w:eastAsia="宋体" w:cs="宋体"/>
                <w:color w:val="auto"/>
                <w:sz w:val="24"/>
                <w:szCs w:val="24"/>
                <w:highlight w:val="none"/>
              </w:rPr>
              <w:t>以上不同的投标报价。</w:t>
            </w:r>
          </w:p>
          <w:p w14:paraId="67F73E12">
            <w:pPr>
              <w:snapToGrid w:val="0"/>
              <w:spacing w:line="320" w:lineRule="exact"/>
              <w:jc w:val="left"/>
              <w:textAlignment w:val="baseline"/>
              <w:rPr>
                <w:rFonts w:hint="default" w:eastAsia="宋体"/>
                <w:color w:val="auto"/>
                <w:highlight w:val="none"/>
                <w:lang w:val="en-US"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cs="宋体"/>
                <w:strike w:val="0"/>
                <w:dstrike w:val="0"/>
                <w:color w:val="auto"/>
                <w:sz w:val="24"/>
                <w:szCs w:val="24"/>
                <w:highlight w:val="none"/>
                <w:lang w:val="en-US" w:eastAsia="zh-CN"/>
              </w:rPr>
              <w:t>分项报价表</w:t>
            </w:r>
            <w:r>
              <w:rPr>
                <w:rFonts w:hint="eastAsia" w:ascii="宋体" w:hAnsi="宋体" w:eastAsia="宋体" w:cs="宋体"/>
                <w:color w:val="auto"/>
                <w:sz w:val="24"/>
                <w:szCs w:val="24"/>
                <w:highlight w:val="none"/>
              </w:rPr>
              <w:t>中</w:t>
            </w:r>
            <w:r>
              <w:rPr>
                <w:rFonts w:hint="eastAsia" w:ascii="宋体" w:hAnsi="宋体" w:cs="宋体"/>
                <w:color w:val="auto"/>
                <w:sz w:val="24"/>
                <w:szCs w:val="24"/>
                <w:highlight w:val="none"/>
                <w:lang w:val="en-US" w:eastAsia="zh-CN"/>
              </w:rPr>
              <w:t>合计</w:t>
            </w:r>
            <w:r>
              <w:rPr>
                <w:rFonts w:hint="eastAsia" w:ascii="宋体" w:hAnsi="宋体" w:eastAsia="宋体" w:cs="宋体"/>
                <w:color w:val="auto"/>
                <w:sz w:val="24"/>
                <w:szCs w:val="24"/>
                <w:highlight w:val="none"/>
              </w:rPr>
              <w:t>金额与投标函</w:t>
            </w:r>
            <w:r>
              <w:rPr>
                <w:rFonts w:hint="eastAsia" w:ascii="宋体" w:hAnsi="宋体" w:cs="宋体"/>
                <w:color w:val="auto"/>
                <w:sz w:val="24"/>
                <w:szCs w:val="24"/>
                <w:highlight w:val="none"/>
                <w:lang w:val="en-US" w:eastAsia="zh-CN"/>
              </w:rPr>
              <w:t>投标报价</w:t>
            </w:r>
            <w:r>
              <w:rPr>
                <w:rFonts w:hint="eastAsia" w:ascii="宋体" w:hAnsi="宋体" w:eastAsia="宋体" w:cs="宋体"/>
                <w:color w:val="auto"/>
                <w:sz w:val="24"/>
                <w:szCs w:val="24"/>
                <w:highlight w:val="none"/>
              </w:rPr>
              <w:t>大写金额一致。</w:t>
            </w:r>
          </w:p>
        </w:tc>
      </w:tr>
      <w:tr w14:paraId="340C5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229" w:hRule="atLeast"/>
          <w:jc w:val="center"/>
        </w:trPr>
        <w:tc>
          <w:tcPr>
            <w:tcW w:w="1143" w:type="dxa"/>
            <w:noWrap w:val="0"/>
            <w:vAlign w:val="center"/>
          </w:tcPr>
          <w:p w14:paraId="3B6DD918">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w:t>
            </w:r>
          </w:p>
        </w:tc>
        <w:tc>
          <w:tcPr>
            <w:tcW w:w="1317" w:type="dxa"/>
            <w:noWrap w:val="0"/>
            <w:vAlign w:val="center"/>
          </w:tcPr>
          <w:p w14:paraId="6499C93D">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资格评审标准</w:t>
            </w:r>
          </w:p>
        </w:tc>
        <w:tc>
          <w:tcPr>
            <w:tcW w:w="7197" w:type="dxa"/>
            <w:noWrap w:val="0"/>
            <w:vAlign w:val="center"/>
          </w:tcPr>
          <w:p w14:paraId="1E2C76BF">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（1）投标人具备有效的企业营业执照和基本账户开户许可证（或基本存款账户信息）；</w:t>
            </w:r>
          </w:p>
          <w:p w14:paraId="1A0EC935">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（2）投标人的资质符合招标文件规定；</w:t>
            </w:r>
          </w:p>
          <w:p w14:paraId="4817BA71">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（3）投标人的类似项目业绩符合招标文件规定；</w:t>
            </w:r>
          </w:p>
          <w:p w14:paraId="68A351FC">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（4）投标人的信誉符合招标文件规定；</w:t>
            </w:r>
          </w:p>
          <w:p w14:paraId="206B7BC4">
            <w:pPr>
              <w:snapToGrid w:val="0"/>
              <w:spacing w:line="240" w:lineRule="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投标人不存在第二章“投标人须知”第1.4.3项规定的任何一种情形。</w:t>
            </w:r>
          </w:p>
        </w:tc>
      </w:tr>
      <w:tr w14:paraId="38B39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43" w:type="dxa"/>
            <w:noWrap w:val="0"/>
            <w:vAlign w:val="center"/>
          </w:tcPr>
          <w:p w14:paraId="3498532C">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条款号</w:t>
            </w:r>
          </w:p>
        </w:tc>
        <w:tc>
          <w:tcPr>
            <w:tcW w:w="1317" w:type="dxa"/>
            <w:noWrap w:val="0"/>
            <w:vAlign w:val="center"/>
          </w:tcPr>
          <w:p w14:paraId="10491459">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条款内容</w:t>
            </w:r>
          </w:p>
        </w:tc>
        <w:tc>
          <w:tcPr>
            <w:tcW w:w="7197" w:type="dxa"/>
            <w:noWrap w:val="0"/>
            <w:vAlign w:val="center"/>
          </w:tcPr>
          <w:p w14:paraId="78BA597B">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编列内容</w:t>
            </w:r>
          </w:p>
        </w:tc>
      </w:tr>
      <w:tr w14:paraId="7D3DD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42" w:hRule="atLeast"/>
          <w:jc w:val="center"/>
        </w:trPr>
        <w:tc>
          <w:tcPr>
            <w:tcW w:w="1143" w:type="dxa"/>
            <w:noWrap w:val="0"/>
            <w:vAlign w:val="center"/>
          </w:tcPr>
          <w:p w14:paraId="2210E139">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2.2.1</w:t>
            </w:r>
          </w:p>
        </w:tc>
        <w:tc>
          <w:tcPr>
            <w:tcW w:w="1317" w:type="dxa"/>
            <w:noWrap w:val="0"/>
            <w:vAlign w:val="center"/>
          </w:tcPr>
          <w:p w14:paraId="425FDF3D">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第一个信封</w:t>
            </w:r>
            <w:r>
              <w:rPr>
                <w:rFonts w:hint="eastAsia" w:ascii="宋体" w:hAnsi="宋体" w:eastAsia="宋体" w:cs="宋体"/>
                <w:color w:val="auto"/>
                <w:sz w:val="24"/>
                <w:szCs w:val="24"/>
                <w:highlight w:val="none"/>
              </w:rPr>
              <w:t>分值构成</w:t>
            </w:r>
          </w:p>
          <w:p w14:paraId="12304A17">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（总分100分）</w:t>
            </w:r>
          </w:p>
        </w:tc>
        <w:tc>
          <w:tcPr>
            <w:tcW w:w="7197" w:type="dxa"/>
            <w:noWrap w:val="0"/>
            <w:vAlign w:val="center"/>
          </w:tcPr>
          <w:p w14:paraId="2E954D56">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商务部分：</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0分</w:t>
            </w:r>
          </w:p>
          <w:p w14:paraId="1CA7B4DA">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技术部分：</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0分</w:t>
            </w:r>
          </w:p>
          <w:p w14:paraId="107BEC00">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其他评分因素：0分</w:t>
            </w:r>
          </w:p>
        </w:tc>
      </w:tr>
      <w:tr w14:paraId="4828A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6D73A480">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2.2.3</w:t>
            </w:r>
          </w:p>
        </w:tc>
        <w:tc>
          <w:tcPr>
            <w:tcW w:w="1317" w:type="dxa"/>
            <w:noWrap w:val="0"/>
            <w:vAlign w:val="center"/>
          </w:tcPr>
          <w:p w14:paraId="23B8A5DE">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第二个信封详细评审标准</w:t>
            </w:r>
          </w:p>
        </w:tc>
        <w:tc>
          <w:tcPr>
            <w:tcW w:w="7197" w:type="dxa"/>
            <w:noWrap w:val="0"/>
            <w:vAlign w:val="center"/>
          </w:tcPr>
          <w:p w14:paraId="31C6DA41">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评标价计算公式：</w:t>
            </w:r>
          </w:p>
          <w:p w14:paraId="07407BF6">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评标价=投标函文字报价。</w:t>
            </w:r>
          </w:p>
        </w:tc>
      </w:tr>
      <w:tr w14:paraId="05E66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35631033">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3.2.4</w:t>
            </w:r>
          </w:p>
        </w:tc>
        <w:tc>
          <w:tcPr>
            <w:tcW w:w="1317" w:type="dxa"/>
            <w:noWrap w:val="0"/>
            <w:vAlign w:val="center"/>
          </w:tcPr>
          <w:p w14:paraId="46F11C7A">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通过第一个信封详细评审的投标人数量</w:t>
            </w:r>
          </w:p>
        </w:tc>
        <w:tc>
          <w:tcPr>
            <w:tcW w:w="7197" w:type="dxa"/>
            <w:noWrap w:val="0"/>
            <w:vAlign w:val="center"/>
          </w:tcPr>
          <w:p w14:paraId="642717A1">
            <w:pPr>
              <w:adjustRightInd w:val="0"/>
              <w:snapToGrid w:val="0"/>
              <w:spacing w:line="240" w:lineRule="auto"/>
              <w:rPr>
                <w:rFonts w:hint="eastAsia" w:ascii="宋体" w:hAnsi="宋体" w:cs="宋体"/>
                <w:color w:val="auto"/>
                <w:sz w:val="24"/>
                <w:szCs w:val="24"/>
                <w:highlight w:val="none"/>
                <w:lang w:eastAsia="zh-CN"/>
              </w:rPr>
            </w:pPr>
            <w:r>
              <w:rPr>
                <w:rFonts w:hint="eastAsia" w:ascii="宋体" w:hAnsi="宋体" w:eastAsia="宋体" w:cs="宋体"/>
                <w:color w:val="auto"/>
                <w:sz w:val="24"/>
                <w:szCs w:val="24"/>
                <w:highlight w:val="none"/>
              </w:rPr>
              <w:t>按照投标人的</w:t>
            </w:r>
            <w:r>
              <w:rPr>
                <w:rFonts w:hint="eastAsia" w:ascii="宋体" w:hAnsi="宋体" w:eastAsia="宋体" w:cs="宋体"/>
                <w:color w:val="auto"/>
                <w:sz w:val="24"/>
                <w:szCs w:val="24"/>
                <w:highlight w:val="none"/>
                <w:lang w:val="en-US" w:eastAsia="zh-CN"/>
              </w:rPr>
              <w:t>综合</w:t>
            </w:r>
            <w:r>
              <w:rPr>
                <w:rFonts w:hint="eastAsia" w:ascii="宋体" w:hAnsi="宋体" w:eastAsia="宋体" w:cs="宋体"/>
                <w:color w:val="auto"/>
                <w:sz w:val="24"/>
                <w:szCs w:val="24"/>
                <w:highlight w:val="none"/>
              </w:rPr>
              <w:t>得分由高到低排序，选择前3名</w:t>
            </w:r>
            <w:r>
              <w:rPr>
                <w:rFonts w:hint="eastAsia" w:ascii="宋体" w:hAnsi="宋体" w:cs="宋体"/>
                <w:color w:val="auto"/>
                <w:sz w:val="24"/>
                <w:szCs w:val="24"/>
                <w:highlight w:val="none"/>
                <w:lang w:val="en-US" w:eastAsia="zh-CN"/>
              </w:rPr>
              <w:t>进入第二信封</w:t>
            </w:r>
            <w:r>
              <w:rPr>
                <w:rFonts w:hint="eastAsia" w:ascii="宋体" w:hAnsi="宋体" w:eastAsia="宋体" w:cs="宋体"/>
                <w:color w:val="auto"/>
                <w:sz w:val="24"/>
                <w:szCs w:val="24"/>
                <w:highlight w:val="none"/>
              </w:rPr>
              <w:t>评审</w:t>
            </w:r>
            <w:r>
              <w:rPr>
                <w:rFonts w:hint="eastAsia" w:ascii="宋体" w:hAnsi="宋体" w:cs="宋体"/>
                <w:color w:val="auto"/>
                <w:sz w:val="24"/>
                <w:szCs w:val="24"/>
                <w:highlight w:val="none"/>
                <w:lang w:eastAsia="zh-CN"/>
              </w:rPr>
              <w:t>。</w:t>
            </w:r>
          </w:p>
          <w:p w14:paraId="29608C7E">
            <w:pPr>
              <w:pStyle w:val="4"/>
              <w:rPr>
                <w:rFonts w:hint="eastAsia"/>
                <w:highlight w:val="none"/>
                <w:lang w:eastAsia="zh-CN"/>
              </w:rPr>
            </w:pPr>
          </w:p>
        </w:tc>
      </w:tr>
      <w:tr w14:paraId="06CD1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6A1F8F5B">
            <w:pPr>
              <w:snapToGrid w:val="0"/>
              <w:spacing w:line="240" w:lineRule="auto"/>
              <w:jc w:val="center"/>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lang w:val="en-US" w:eastAsia="zh-CN"/>
              </w:rPr>
              <w:t>3.5.3</w:t>
            </w:r>
          </w:p>
        </w:tc>
        <w:tc>
          <w:tcPr>
            <w:tcW w:w="1317" w:type="dxa"/>
            <w:noWrap w:val="0"/>
            <w:vAlign w:val="center"/>
          </w:tcPr>
          <w:p w14:paraId="42B4E024">
            <w:pPr>
              <w:snapToGrid w:val="0"/>
              <w:spacing w:line="240" w:lineRule="auto"/>
              <w:jc w:val="center"/>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异常低价评审</w:t>
            </w:r>
          </w:p>
        </w:tc>
        <w:tc>
          <w:tcPr>
            <w:tcW w:w="7197" w:type="dxa"/>
            <w:noWrap w:val="0"/>
            <w:vAlign w:val="center"/>
          </w:tcPr>
          <w:p w14:paraId="0297F68F">
            <w:pPr>
              <w:snapToGrid w:val="0"/>
              <w:spacing w:line="240" w:lineRule="auto"/>
              <w:rPr>
                <w:rFonts w:hint="eastAsia" w:ascii="宋体" w:hAnsi="宋体" w:eastAsia="宋体" w:cs="宋体"/>
                <w:strike w:val="0"/>
                <w:dstrike w:val="0"/>
                <w:color w:val="auto"/>
                <w:sz w:val="24"/>
                <w:szCs w:val="24"/>
                <w:highlight w:val="none"/>
                <w:u w:val="none"/>
                <w:lang w:val="en-US" w:eastAsia="zh-CN"/>
              </w:rPr>
            </w:pPr>
            <w:r>
              <w:rPr>
                <w:rFonts w:hint="eastAsia" w:ascii="宋体" w:hAnsi="宋体" w:eastAsia="宋体" w:cs="宋体"/>
                <w:strike w:val="0"/>
                <w:dstrike w:val="0"/>
                <w:color w:val="auto"/>
                <w:sz w:val="24"/>
                <w:szCs w:val="24"/>
                <w:highlight w:val="none"/>
                <w:u w:val="none"/>
                <w:lang w:val="en-US" w:eastAsia="zh-CN"/>
              </w:rPr>
              <w:t>本款修改为：</w:t>
            </w:r>
          </w:p>
          <w:p w14:paraId="1351EAF6">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u w:val="none"/>
              </w:rPr>
              <w:t>评标委员会发现投标人的投标报价低于最高投标限价的</w:t>
            </w:r>
            <w:r>
              <w:rPr>
                <w:rFonts w:hint="eastAsia" w:ascii="宋体" w:hAnsi="宋体" w:cs="宋体"/>
                <w:strike w:val="0"/>
                <w:dstrike w:val="0"/>
                <w:color w:val="auto"/>
                <w:sz w:val="24"/>
                <w:szCs w:val="24"/>
                <w:highlight w:val="none"/>
                <w:u w:val="none"/>
                <w:lang w:val="en-US" w:eastAsia="zh-CN"/>
              </w:rPr>
              <w:t>60</w:t>
            </w:r>
            <w:r>
              <w:rPr>
                <w:rFonts w:hint="eastAsia" w:ascii="宋体" w:hAnsi="宋体" w:eastAsia="宋体" w:cs="宋体"/>
                <w:strike w:val="0"/>
                <w:dstrike w:val="0"/>
                <w:color w:val="auto"/>
                <w:sz w:val="24"/>
                <w:szCs w:val="24"/>
                <w:highlight w:val="none"/>
                <w:u w:val="none"/>
              </w:rPr>
              <w:t>%</w:t>
            </w:r>
            <w:r>
              <w:rPr>
                <w:rFonts w:hint="eastAsia" w:ascii="宋体" w:hAnsi="宋体" w:cs="宋体"/>
                <w:strike w:val="0"/>
                <w:dstrike w:val="0"/>
                <w:color w:val="auto"/>
                <w:sz w:val="24"/>
                <w:szCs w:val="24"/>
                <w:highlight w:val="none"/>
                <w:u w:val="none"/>
                <w:lang w:eastAsia="zh-CN"/>
              </w:rPr>
              <w:t>（</w:t>
            </w:r>
            <w:r>
              <w:rPr>
                <w:rFonts w:hint="eastAsia" w:ascii="宋体" w:hAnsi="宋体" w:cs="宋体"/>
                <w:strike w:val="0"/>
                <w:dstrike w:val="0"/>
                <w:color w:val="auto"/>
                <w:sz w:val="24"/>
                <w:szCs w:val="24"/>
                <w:highlight w:val="none"/>
                <w:u w:val="none"/>
                <w:lang w:val="en-US" w:eastAsia="zh-CN"/>
              </w:rPr>
              <w:t>含本数</w:t>
            </w:r>
            <w:r>
              <w:rPr>
                <w:rFonts w:hint="eastAsia" w:ascii="宋体" w:hAnsi="宋体" w:cs="宋体"/>
                <w:strike w:val="0"/>
                <w:dstrike w:val="0"/>
                <w:color w:val="auto"/>
                <w:sz w:val="24"/>
                <w:szCs w:val="24"/>
                <w:highlight w:val="none"/>
                <w:u w:val="none"/>
                <w:lang w:eastAsia="zh-CN"/>
              </w:rPr>
              <w:t>）</w:t>
            </w:r>
            <w:r>
              <w:rPr>
                <w:rFonts w:hint="eastAsia" w:ascii="宋体" w:hAnsi="宋体" w:eastAsia="宋体" w:cs="宋体"/>
                <w:strike w:val="0"/>
                <w:dstrike w:val="0"/>
                <w:color w:val="auto"/>
                <w:sz w:val="24"/>
                <w:szCs w:val="24"/>
                <w:highlight w:val="none"/>
                <w:u w:val="none"/>
              </w:rPr>
              <w:t>时，应当要求该投标人在规定时间内作出书面说明并提供相应的证明材料。投标人不能合理说明或者不能提供相应证明材料的，评标委员会应当认定该投标人以低于成本或者影响履约的异常低价竞标，并否决其投标。</w:t>
            </w:r>
          </w:p>
        </w:tc>
      </w:tr>
      <w:tr w14:paraId="7F1E9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16E3EBAF">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3.6.1</w:t>
            </w:r>
          </w:p>
        </w:tc>
        <w:tc>
          <w:tcPr>
            <w:tcW w:w="1317" w:type="dxa"/>
            <w:noWrap w:val="0"/>
            <w:vAlign w:val="center"/>
          </w:tcPr>
          <w:p w14:paraId="061A5BAB">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信息查询</w:t>
            </w:r>
          </w:p>
        </w:tc>
        <w:tc>
          <w:tcPr>
            <w:tcW w:w="7197" w:type="dxa"/>
            <w:noWrap w:val="0"/>
            <w:vAlign w:val="center"/>
          </w:tcPr>
          <w:p w14:paraId="3C828FC2">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修改为：</w:t>
            </w:r>
          </w:p>
          <w:p w14:paraId="4854F9D5">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在评标过程中，评标委员会应对以下信息进行查询：</w:t>
            </w:r>
          </w:p>
          <w:p w14:paraId="70CB323F">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投标人信用情况网页截图内容与在</w:t>
            </w:r>
            <w:r>
              <w:rPr>
                <w:rFonts w:hint="eastAsia" w:ascii="宋体" w:hAnsi="宋体" w:eastAsia="宋体" w:cs="宋体"/>
                <w:snapToGrid w:val="0"/>
                <w:color w:val="auto"/>
                <w:sz w:val="24"/>
                <w:szCs w:val="24"/>
                <w:highlight w:val="none"/>
                <w:lang w:bidi="ar"/>
              </w:rPr>
              <w:t>国家企业信用信息公示系统（http://www.gsxt.gov.cn/）中</w:t>
            </w:r>
            <w:r>
              <w:rPr>
                <w:rFonts w:hint="eastAsia" w:ascii="宋体" w:hAnsi="宋体" w:cs="宋体"/>
                <w:snapToGrid w:val="0"/>
                <w:color w:val="auto"/>
                <w:sz w:val="24"/>
                <w:szCs w:val="24"/>
                <w:highlight w:val="none"/>
                <w:lang w:val="en-US" w:eastAsia="zh-CN" w:bidi="ar"/>
              </w:rPr>
              <w:t>未</w:t>
            </w:r>
            <w:r>
              <w:rPr>
                <w:rFonts w:hint="eastAsia" w:ascii="宋体" w:hAnsi="宋体" w:eastAsia="宋体" w:cs="宋体"/>
                <w:snapToGrid w:val="0"/>
                <w:color w:val="auto"/>
                <w:sz w:val="24"/>
                <w:szCs w:val="24"/>
                <w:highlight w:val="none"/>
                <w:lang w:bidi="ar"/>
              </w:rPr>
              <w:t>被</w:t>
            </w:r>
            <w:r>
              <w:rPr>
                <w:rFonts w:hint="eastAsia" w:ascii="宋体" w:hAnsi="宋体" w:eastAsia="宋体" w:cs="宋体"/>
                <w:snapToGrid w:val="0"/>
                <w:color w:val="auto"/>
                <w:sz w:val="24"/>
                <w:szCs w:val="24"/>
                <w:highlight w:val="none"/>
                <w:lang w:eastAsia="zh-CN" w:bidi="ar"/>
              </w:rPr>
              <w:t>列入严重违法失信名单（黑名单</w:t>
            </w:r>
            <w:r>
              <w:rPr>
                <w:rFonts w:hint="eastAsia" w:ascii="宋体" w:hAnsi="宋体" w:cs="宋体"/>
                <w:snapToGrid w:val="0"/>
                <w:color w:val="auto"/>
                <w:sz w:val="24"/>
                <w:szCs w:val="24"/>
                <w:highlight w:val="none"/>
                <w:lang w:eastAsia="zh-CN" w:bidi="ar"/>
              </w:rPr>
              <w:t>）</w:t>
            </w:r>
            <w:r>
              <w:rPr>
                <w:rFonts w:hint="eastAsia" w:ascii="宋体" w:hAnsi="宋体" w:eastAsia="宋体" w:cs="宋体"/>
                <w:snapToGrid w:val="0"/>
                <w:color w:val="auto"/>
                <w:sz w:val="24"/>
                <w:szCs w:val="24"/>
                <w:highlight w:val="none"/>
                <w:lang w:bidi="ar"/>
              </w:rPr>
              <w:t>（不含分公司）</w:t>
            </w:r>
            <w:r>
              <w:rPr>
                <w:rFonts w:hint="eastAsia" w:ascii="宋体" w:hAnsi="宋体" w:cs="宋体"/>
                <w:snapToGrid w:val="0"/>
                <w:color w:val="auto"/>
                <w:sz w:val="24"/>
                <w:szCs w:val="24"/>
                <w:highlight w:val="none"/>
                <w:lang w:eastAsia="zh-CN" w:bidi="ar"/>
              </w:rPr>
              <w:t>（</w:t>
            </w:r>
            <w:r>
              <w:rPr>
                <w:rFonts w:hint="eastAsia" w:ascii="宋体" w:hAnsi="宋体" w:cs="宋体"/>
                <w:snapToGrid w:val="0"/>
                <w:color w:val="auto"/>
                <w:sz w:val="24"/>
                <w:szCs w:val="24"/>
                <w:highlight w:val="none"/>
                <w:lang w:val="en-US" w:eastAsia="zh-CN" w:bidi="ar"/>
              </w:rPr>
              <w:t>事业单位不适用</w:t>
            </w:r>
            <w:r>
              <w:rPr>
                <w:rFonts w:hint="eastAsia" w:ascii="宋体" w:hAnsi="宋体" w:cs="宋体"/>
                <w:snapToGrid w:val="0"/>
                <w:color w:val="auto"/>
                <w:sz w:val="24"/>
                <w:szCs w:val="24"/>
                <w:highlight w:val="none"/>
                <w:lang w:eastAsia="zh-CN" w:bidi="ar"/>
              </w:rPr>
              <w:t>）</w:t>
            </w:r>
            <w:r>
              <w:rPr>
                <w:rFonts w:hint="eastAsia" w:ascii="宋体" w:hAnsi="宋体" w:eastAsia="宋体" w:cs="宋体"/>
                <w:snapToGrid w:val="0"/>
                <w:color w:val="auto"/>
                <w:sz w:val="24"/>
                <w:szCs w:val="24"/>
                <w:highlight w:val="none"/>
                <w:lang w:bidi="ar"/>
              </w:rPr>
              <w:t>、在“信用中国”网站（http://www.creditchina.gov.cn/）中</w:t>
            </w:r>
            <w:r>
              <w:rPr>
                <w:rFonts w:hint="eastAsia" w:ascii="宋体" w:hAnsi="宋体" w:cs="宋体"/>
                <w:snapToGrid w:val="0"/>
                <w:color w:val="auto"/>
                <w:sz w:val="24"/>
                <w:szCs w:val="24"/>
                <w:highlight w:val="none"/>
                <w:lang w:val="en-US" w:eastAsia="zh-CN" w:bidi="ar"/>
              </w:rPr>
              <w:t>未</w:t>
            </w:r>
            <w:r>
              <w:rPr>
                <w:rFonts w:hint="eastAsia" w:ascii="宋体" w:hAnsi="宋体" w:eastAsia="宋体" w:cs="宋体"/>
                <w:snapToGrid w:val="0"/>
                <w:color w:val="auto"/>
                <w:sz w:val="24"/>
                <w:szCs w:val="24"/>
                <w:highlight w:val="none"/>
                <w:lang w:bidi="ar"/>
              </w:rPr>
              <w:t>被列入</w:t>
            </w:r>
            <w:r>
              <w:rPr>
                <w:rFonts w:hint="eastAsia" w:ascii="宋体" w:hAnsi="宋体" w:eastAsia="宋体" w:cs="宋体"/>
                <w:snapToGrid w:val="0"/>
                <w:color w:val="auto"/>
                <w:sz w:val="24"/>
                <w:szCs w:val="24"/>
                <w:highlight w:val="none"/>
                <w:lang w:eastAsia="zh-CN" w:bidi="ar"/>
              </w:rPr>
              <w:t>经营（活动）异常名录</w:t>
            </w:r>
            <w:r>
              <w:rPr>
                <w:rFonts w:hint="eastAsia" w:ascii="宋体" w:hAnsi="宋体" w:eastAsia="宋体" w:cs="宋体"/>
                <w:snapToGrid w:val="0"/>
                <w:color w:val="auto"/>
                <w:sz w:val="24"/>
                <w:szCs w:val="24"/>
                <w:highlight w:val="none"/>
                <w:lang w:bidi="ar"/>
              </w:rPr>
              <w:t>、重大税收违法失信主体</w:t>
            </w:r>
            <w:r>
              <w:rPr>
                <w:rFonts w:hint="eastAsia" w:ascii="宋体" w:hAnsi="宋体" w:cs="宋体"/>
                <w:snapToGrid w:val="0"/>
                <w:color w:val="auto"/>
                <w:sz w:val="24"/>
                <w:szCs w:val="24"/>
                <w:highlight w:val="none"/>
                <w:lang w:eastAsia="zh-CN" w:bidi="ar"/>
              </w:rPr>
              <w:t>、</w:t>
            </w:r>
            <w:r>
              <w:rPr>
                <w:rFonts w:hint="eastAsia" w:ascii="宋体" w:hAnsi="宋体" w:eastAsia="宋体" w:cs="宋体"/>
                <w:snapToGrid w:val="0"/>
                <w:color w:val="auto"/>
                <w:sz w:val="24"/>
                <w:szCs w:val="24"/>
                <w:highlight w:val="none"/>
                <w:lang w:bidi="ar"/>
              </w:rPr>
              <w:t>政府采购严重违法失信行为记录名单（均不含分公司）</w:t>
            </w:r>
            <w:r>
              <w:rPr>
                <w:rFonts w:hint="eastAsia" w:ascii="宋体" w:hAnsi="宋体" w:cs="宋体"/>
                <w:snapToGrid w:val="0"/>
                <w:color w:val="auto"/>
                <w:sz w:val="24"/>
                <w:szCs w:val="24"/>
                <w:highlight w:val="none"/>
                <w:lang w:eastAsia="zh-CN" w:bidi="ar"/>
              </w:rPr>
              <w:t>、</w:t>
            </w:r>
            <w:r>
              <w:rPr>
                <w:rFonts w:hint="eastAsia" w:ascii="宋体" w:hAnsi="宋体" w:eastAsia="宋体" w:cs="宋体"/>
                <w:snapToGrid w:val="0"/>
                <w:color w:val="auto"/>
                <w:sz w:val="24"/>
                <w:szCs w:val="24"/>
                <w:highlight w:val="none"/>
                <w:lang w:bidi="ar"/>
              </w:rPr>
              <w:t>在中国执行信息公开网（zxgk.court.gov.cn）中</w:t>
            </w:r>
            <w:r>
              <w:rPr>
                <w:rFonts w:hint="eastAsia" w:ascii="宋体" w:hAnsi="宋体" w:cs="宋体"/>
                <w:snapToGrid w:val="0"/>
                <w:color w:val="auto"/>
                <w:sz w:val="24"/>
                <w:szCs w:val="24"/>
                <w:highlight w:val="none"/>
                <w:lang w:val="en-US" w:eastAsia="zh-CN" w:bidi="ar"/>
              </w:rPr>
              <w:t>未</w:t>
            </w:r>
            <w:r>
              <w:rPr>
                <w:rFonts w:hint="eastAsia" w:ascii="宋体" w:hAnsi="宋体" w:eastAsia="宋体" w:cs="宋体"/>
                <w:snapToGrid w:val="0"/>
                <w:color w:val="auto"/>
                <w:sz w:val="24"/>
                <w:szCs w:val="24"/>
                <w:highlight w:val="none"/>
                <w:lang w:bidi="ar"/>
              </w:rPr>
              <w:t>被列入失信被执行人（不含分公司）</w:t>
            </w:r>
            <w:r>
              <w:rPr>
                <w:rFonts w:hint="eastAsia" w:ascii="宋体" w:hAnsi="宋体" w:eastAsia="宋体" w:cs="宋体"/>
                <w:color w:val="auto"/>
                <w:sz w:val="24"/>
                <w:szCs w:val="24"/>
                <w:highlight w:val="none"/>
              </w:rPr>
              <w:t>的复核结果一致。如投标人未提供相关网页截图或所附截图与复核结果不一致导致不能满足资格评审要求的，评标委员会应否决其投标。</w:t>
            </w:r>
          </w:p>
          <w:p w14:paraId="2C4D60A8">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投标人应保证本款所附的全部截图的真实性。</w:t>
            </w:r>
            <w:r>
              <w:rPr>
                <w:rFonts w:hint="eastAsia" w:ascii="宋体" w:hAnsi="宋体" w:eastAsia="宋体" w:cs="宋体"/>
                <w:color w:val="auto"/>
                <w:sz w:val="24"/>
                <w:szCs w:val="24"/>
                <w:highlight w:val="none"/>
              </w:rPr>
              <w:t>投标人应当及时核查并更新政府网站公开的相关信息，并承担由于信息填报不完整或者不准确等原因导致投标可能被否决的后果。相关信息由投标人填报的，其真实性由投标人负责，经查证与事实不符的，视为投标过程中的弄虚作假行为，按相关规定处理。</w:t>
            </w:r>
          </w:p>
        </w:tc>
      </w:tr>
      <w:tr w14:paraId="1DB37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648660B7">
            <w:pPr>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3.6.3</w:t>
            </w:r>
          </w:p>
        </w:tc>
        <w:tc>
          <w:tcPr>
            <w:tcW w:w="1317" w:type="dxa"/>
            <w:noWrap w:val="0"/>
            <w:vAlign w:val="center"/>
          </w:tcPr>
          <w:p w14:paraId="5D87B5DA">
            <w:pPr>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异常投标情形核查</w:t>
            </w:r>
          </w:p>
        </w:tc>
        <w:tc>
          <w:tcPr>
            <w:tcW w:w="7197" w:type="dxa"/>
            <w:noWrap w:val="0"/>
            <w:vAlign w:val="center"/>
          </w:tcPr>
          <w:p w14:paraId="2D08EE75">
            <w:pPr>
              <w:snapToGrid w:val="0"/>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评标委员会在评标过程中发现存在投标文件异常一致或投标活动异常关联等异常投标情形的，</w:t>
            </w:r>
            <w:r>
              <w:rPr>
                <w:rFonts w:hint="eastAsia" w:ascii="宋体" w:hAnsi="宋体" w:eastAsia="宋体" w:cs="宋体"/>
                <w:color w:val="auto"/>
                <w:sz w:val="24"/>
                <w:szCs w:val="24"/>
                <w:highlight w:val="none"/>
              </w:rPr>
              <w:t>应当要求投标人在规定时间内作出书面说明并提供相应的证明材料。投标人不能合理说明或者不能提供相应证明材料的，评标委员会应当认定投标人</w:t>
            </w:r>
            <w:r>
              <w:rPr>
                <w:rFonts w:hint="eastAsia" w:ascii="宋体" w:hAnsi="宋体" w:eastAsia="宋体" w:cs="宋体"/>
                <w:color w:val="auto"/>
                <w:sz w:val="24"/>
                <w:szCs w:val="24"/>
                <w:highlight w:val="none"/>
                <w:lang w:val="en-US" w:eastAsia="zh-CN"/>
              </w:rPr>
              <w:t>存在</w:t>
            </w:r>
            <w:r>
              <w:rPr>
                <w:rFonts w:hint="eastAsia" w:ascii="宋体" w:hAnsi="宋体" w:eastAsia="宋体" w:cs="宋体"/>
                <w:strike w:val="0"/>
                <w:dstrike w:val="0"/>
                <w:color w:val="auto"/>
                <w:sz w:val="24"/>
                <w:szCs w:val="24"/>
                <w:highlight w:val="none"/>
                <w:lang w:val="en-US" w:eastAsia="zh-CN"/>
              </w:rPr>
              <w:t>串通投标等违法行为，</w:t>
            </w:r>
            <w:r>
              <w:rPr>
                <w:rFonts w:hint="eastAsia" w:ascii="宋体" w:hAnsi="宋体" w:eastAsia="宋体" w:cs="宋体"/>
                <w:color w:val="auto"/>
                <w:sz w:val="24"/>
                <w:szCs w:val="24"/>
                <w:highlight w:val="none"/>
                <w:lang w:val="en-US" w:eastAsia="zh-CN"/>
              </w:rPr>
              <w:t>并否决其投标。</w:t>
            </w:r>
          </w:p>
          <w:p w14:paraId="6C3352F4">
            <w:pPr>
              <w:snapToGrid w:val="0"/>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有下列情形之一的，属于投标文件异常一致或投标活动异常关联等异常投标情形：</w:t>
            </w:r>
          </w:p>
          <w:p w14:paraId="46FCBA9D">
            <w:pPr>
              <w:snapToGrid w:val="0"/>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（1）投标人投标文件制作机器码雷同；</w:t>
            </w:r>
          </w:p>
          <w:p w14:paraId="669CB213">
            <w:pPr>
              <w:snapToGrid w:val="0"/>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（2）投标文件创建标识码雷同；</w:t>
            </w:r>
          </w:p>
          <w:p w14:paraId="7764FE70">
            <w:pPr>
              <w:snapToGrid w:val="0"/>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（3）投标文件制作计算机MAC地址雷同；</w:t>
            </w:r>
          </w:p>
          <w:p w14:paraId="7D36871A">
            <w:pPr>
              <w:snapToGrid w:val="0"/>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（4）投标文件制作计算机硬盘序列号雷同；</w:t>
            </w:r>
          </w:p>
          <w:p w14:paraId="5C5E9A5B">
            <w:pPr>
              <w:snapToGrid w:val="0"/>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（5）招标文件下载IP地址雷同；</w:t>
            </w:r>
          </w:p>
          <w:p w14:paraId="73B3949F">
            <w:pPr>
              <w:snapToGrid w:val="0"/>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（6）投标文件上传IP地址雷同；</w:t>
            </w:r>
          </w:p>
          <w:p w14:paraId="6B56F5F6">
            <w:pPr>
              <w:snapToGrid w:val="0"/>
              <w:spacing w:line="240" w:lineRule="auto"/>
              <w:rPr>
                <w:rFonts w:hint="eastAsia" w:ascii="宋体" w:hAnsi="宋体" w:eastAsia="宋体" w:cs="宋体"/>
                <w:strike w:val="0"/>
                <w:dstrike w:val="0"/>
                <w:color w:val="auto"/>
                <w:sz w:val="24"/>
                <w:szCs w:val="24"/>
                <w:highlight w:val="none"/>
              </w:rPr>
            </w:pPr>
            <w:r>
              <w:rPr>
                <w:rFonts w:hint="eastAsia" w:ascii="宋体" w:hAnsi="宋体" w:eastAsia="宋体" w:cs="宋体"/>
                <w:color w:val="auto"/>
                <w:sz w:val="24"/>
                <w:szCs w:val="24"/>
                <w:highlight w:val="none"/>
                <w:lang w:val="en-US" w:eastAsia="zh-CN"/>
              </w:rPr>
              <w:t>（7）投标文件解密IP地址雷同。</w:t>
            </w:r>
          </w:p>
        </w:tc>
      </w:tr>
    </w:tbl>
    <w:p w14:paraId="196F5469">
      <w:pPr>
        <w:adjustRightInd w:val="0"/>
        <w:snapToGrid w:val="0"/>
        <w:spacing w:line="360" w:lineRule="auto"/>
        <w:textAlignment w:val="baseline"/>
        <w:rPr>
          <w:rFonts w:ascii="宋体" w:hAnsi="宋体"/>
          <w:b/>
          <w:bCs/>
          <w:snapToGrid w:val="0"/>
          <w:color w:val="auto"/>
          <w:kern w:val="0"/>
          <w:sz w:val="28"/>
          <w:szCs w:val="24"/>
          <w:highlight w:val="none"/>
        </w:rPr>
      </w:pPr>
      <w:r>
        <w:rPr>
          <w:rFonts w:hint="eastAsia" w:ascii="宋体" w:hAnsi="宋体"/>
          <w:b/>
          <w:bCs/>
          <w:snapToGrid w:val="0"/>
          <w:color w:val="auto"/>
          <w:kern w:val="0"/>
          <w:sz w:val="28"/>
          <w:szCs w:val="24"/>
          <w:highlight w:val="none"/>
        </w:rPr>
        <w:br w:type="page"/>
      </w:r>
      <w:r>
        <w:rPr>
          <w:rFonts w:hint="eastAsia" w:ascii="宋体" w:hAnsi="宋体"/>
          <w:b/>
          <w:bCs/>
          <w:snapToGrid w:val="0"/>
          <w:color w:val="auto"/>
          <w:kern w:val="0"/>
          <w:sz w:val="28"/>
          <w:szCs w:val="24"/>
          <w:highlight w:val="none"/>
        </w:rPr>
        <w:t>评分标准</w:t>
      </w:r>
    </w:p>
    <w:tbl>
      <w:tblPr>
        <w:tblStyle w:val="11"/>
        <w:tblpPr w:leftFromText="180" w:rightFromText="180" w:vertAnchor="text" w:tblpXSpec="center" w:tblpY="1"/>
        <w:tblOverlap w:val="never"/>
        <w:tblW w:w="93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186"/>
        <w:gridCol w:w="2216"/>
        <w:gridCol w:w="894"/>
        <w:gridCol w:w="4119"/>
      </w:tblGrid>
      <w:tr w14:paraId="0CCE7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959" w:type="dxa"/>
            <w:noWrap w:val="0"/>
            <w:vAlign w:val="center"/>
          </w:tcPr>
          <w:p w14:paraId="06DD6880">
            <w:pPr>
              <w:pStyle w:val="8"/>
              <w:jc w:val="center"/>
              <w:textAlignment w:val="baseline"/>
              <w:rPr>
                <w:rFonts w:hint="eastAsia" w:hAnsi="宋体" w:cs="宋体"/>
                <w:color w:val="auto"/>
                <w:kern w:val="0"/>
                <w:sz w:val="24"/>
                <w:szCs w:val="24"/>
                <w:highlight w:val="none"/>
              </w:rPr>
            </w:pPr>
            <w:r>
              <w:rPr>
                <w:rFonts w:hint="eastAsia" w:hAnsi="宋体" w:cs="宋体"/>
                <w:color w:val="auto"/>
                <w:sz w:val="24"/>
                <w:szCs w:val="24"/>
                <w:highlight w:val="none"/>
              </w:rPr>
              <w:t>条款号</w:t>
            </w:r>
          </w:p>
        </w:tc>
        <w:tc>
          <w:tcPr>
            <w:tcW w:w="1186" w:type="dxa"/>
            <w:noWrap w:val="0"/>
            <w:vAlign w:val="center"/>
          </w:tcPr>
          <w:p w14:paraId="67B67F27">
            <w:pPr>
              <w:pStyle w:val="8"/>
              <w:jc w:val="center"/>
              <w:textAlignment w:val="baseline"/>
              <w:rPr>
                <w:rFonts w:hAnsi="宋体" w:cs="宋体"/>
                <w:color w:val="auto"/>
                <w:sz w:val="24"/>
                <w:szCs w:val="24"/>
                <w:highlight w:val="none"/>
              </w:rPr>
            </w:pPr>
            <w:r>
              <w:rPr>
                <w:rFonts w:hint="eastAsia" w:hAnsi="宋体" w:cs="宋体"/>
                <w:color w:val="auto"/>
                <w:sz w:val="24"/>
                <w:szCs w:val="24"/>
                <w:highlight w:val="none"/>
              </w:rPr>
              <w:t>评分</w:t>
            </w:r>
          </w:p>
          <w:p w14:paraId="5C4F5707">
            <w:pPr>
              <w:pStyle w:val="8"/>
              <w:jc w:val="center"/>
              <w:textAlignment w:val="baseline"/>
              <w:rPr>
                <w:rFonts w:hint="eastAsia" w:hAnsi="宋体" w:cs="宋体"/>
                <w:color w:val="auto"/>
                <w:sz w:val="24"/>
                <w:szCs w:val="24"/>
                <w:highlight w:val="none"/>
              </w:rPr>
            </w:pPr>
            <w:r>
              <w:rPr>
                <w:rFonts w:hint="eastAsia" w:hAnsi="宋体" w:cs="宋体"/>
                <w:color w:val="auto"/>
                <w:sz w:val="24"/>
                <w:szCs w:val="24"/>
                <w:highlight w:val="none"/>
              </w:rPr>
              <w:t>因素</w:t>
            </w:r>
          </w:p>
        </w:tc>
        <w:tc>
          <w:tcPr>
            <w:tcW w:w="2216" w:type="dxa"/>
            <w:noWrap w:val="0"/>
            <w:vAlign w:val="center"/>
          </w:tcPr>
          <w:p w14:paraId="3A651958">
            <w:pPr>
              <w:adjustRightInd w:val="0"/>
              <w:snapToGrid w:val="0"/>
              <w:jc w:val="center"/>
              <w:rPr>
                <w:rFonts w:ascii="宋体" w:hAnsi="宋体" w:cs="宋体"/>
                <w:color w:val="auto"/>
                <w:sz w:val="24"/>
                <w:szCs w:val="24"/>
                <w:highlight w:val="none"/>
                <w:u w:val="single"/>
              </w:rPr>
            </w:pPr>
            <w:r>
              <w:rPr>
                <w:rFonts w:hint="eastAsia" w:ascii="宋体" w:hAnsi="宋体" w:cs="宋体"/>
                <w:color w:val="auto"/>
                <w:sz w:val="24"/>
                <w:szCs w:val="24"/>
                <w:highlight w:val="none"/>
              </w:rPr>
              <w:t>评分因素</w:t>
            </w:r>
          </w:p>
        </w:tc>
        <w:tc>
          <w:tcPr>
            <w:tcW w:w="894" w:type="dxa"/>
            <w:noWrap w:val="0"/>
            <w:vAlign w:val="center"/>
          </w:tcPr>
          <w:p w14:paraId="450C3D25">
            <w:pPr>
              <w:jc w:val="center"/>
              <w:rPr>
                <w:rFonts w:ascii="宋体" w:hAnsi="宋体" w:cs="宋体"/>
                <w:color w:val="auto"/>
                <w:sz w:val="24"/>
                <w:szCs w:val="24"/>
                <w:highlight w:val="none"/>
              </w:rPr>
            </w:pPr>
            <w:r>
              <w:rPr>
                <w:rFonts w:ascii="宋体" w:hAnsi="宋体" w:cs="宋体"/>
                <w:color w:val="auto"/>
                <w:spacing w:val="-3"/>
                <w:sz w:val="24"/>
                <w:szCs w:val="24"/>
                <w:highlight w:val="none"/>
              </w:rPr>
              <w:t>分</w:t>
            </w:r>
            <w:r>
              <w:rPr>
                <w:rFonts w:ascii="宋体" w:hAnsi="宋体" w:cs="宋体"/>
                <w:color w:val="auto"/>
                <w:spacing w:val="-2"/>
                <w:sz w:val="24"/>
                <w:szCs w:val="24"/>
                <w:highlight w:val="none"/>
              </w:rPr>
              <w:t>值</w:t>
            </w:r>
          </w:p>
        </w:tc>
        <w:tc>
          <w:tcPr>
            <w:tcW w:w="4119" w:type="dxa"/>
            <w:noWrap w:val="0"/>
            <w:vAlign w:val="center"/>
          </w:tcPr>
          <w:p w14:paraId="165B730C">
            <w:pPr>
              <w:jc w:val="center"/>
              <w:rPr>
                <w:rFonts w:ascii="宋体" w:hAnsi="宋体" w:cs="宋体"/>
                <w:color w:val="auto"/>
                <w:spacing w:val="-3"/>
                <w:sz w:val="24"/>
                <w:szCs w:val="24"/>
                <w:highlight w:val="none"/>
              </w:rPr>
            </w:pPr>
            <w:r>
              <w:rPr>
                <w:rFonts w:ascii="宋体" w:hAnsi="宋体" w:cs="宋体"/>
                <w:color w:val="auto"/>
                <w:spacing w:val="-1"/>
                <w:sz w:val="24"/>
                <w:szCs w:val="24"/>
                <w:highlight w:val="none"/>
              </w:rPr>
              <w:t>评分</w:t>
            </w:r>
            <w:r>
              <w:rPr>
                <w:rFonts w:ascii="宋体" w:hAnsi="宋体" w:cs="宋体"/>
                <w:color w:val="auto"/>
                <w:sz w:val="24"/>
                <w:szCs w:val="24"/>
                <w:highlight w:val="none"/>
              </w:rPr>
              <w:t>标准</w:t>
            </w:r>
          </w:p>
        </w:tc>
      </w:tr>
      <w:tr w14:paraId="1B60E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959" w:type="dxa"/>
            <w:vMerge w:val="restart"/>
            <w:noWrap w:val="0"/>
            <w:vAlign w:val="center"/>
          </w:tcPr>
          <w:p w14:paraId="71E4AC21">
            <w:pPr>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2.2.</w:t>
            </w:r>
            <w:r>
              <w:rPr>
                <w:rFonts w:hint="eastAsia" w:ascii="宋体" w:hAnsi="宋体" w:cs="宋体"/>
                <w:color w:val="auto"/>
                <w:kern w:val="0"/>
                <w:sz w:val="24"/>
                <w:szCs w:val="24"/>
                <w:highlight w:val="none"/>
                <w:lang w:val="en-US" w:eastAsia="zh-CN"/>
              </w:rPr>
              <w:t>1</w:t>
            </w:r>
          </w:p>
          <w:p w14:paraId="03D6649E">
            <w:pPr>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(1)</w:t>
            </w:r>
          </w:p>
        </w:tc>
        <w:tc>
          <w:tcPr>
            <w:tcW w:w="1186" w:type="dxa"/>
            <w:vMerge w:val="restart"/>
            <w:noWrap w:val="0"/>
            <w:vAlign w:val="center"/>
          </w:tcPr>
          <w:p w14:paraId="3D5AB274">
            <w:pPr>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商务部分</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2</w:t>
            </w:r>
            <w:r>
              <w:rPr>
                <w:rFonts w:ascii="宋体" w:hAnsi="宋体" w:cs="宋体"/>
                <w:color w:val="auto"/>
                <w:sz w:val="24"/>
                <w:szCs w:val="24"/>
                <w:highlight w:val="none"/>
              </w:rPr>
              <w:t>0</w:t>
            </w:r>
            <w:r>
              <w:rPr>
                <w:rFonts w:hint="eastAsia" w:ascii="宋体" w:hAnsi="宋体" w:cs="宋体"/>
                <w:color w:val="auto"/>
                <w:sz w:val="24"/>
                <w:szCs w:val="24"/>
                <w:highlight w:val="none"/>
              </w:rPr>
              <w:t>分）</w:t>
            </w:r>
          </w:p>
        </w:tc>
        <w:tc>
          <w:tcPr>
            <w:tcW w:w="2216" w:type="dxa"/>
            <w:vMerge w:val="restart"/>
            <w:noWrap w:val="0"/>
            <w:vAlign w:val="center"/>
          </w:tcPr>
          <w:p w14:paraId="40FB5071">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业绩</w:t>
            </w:r>
          </w:p>
        </w:tc>
        <w:tc>
          <w:tcPr>
            <w:tcW w:w="894" w:type="dxa"/>
            <w:vMerge w:val="restart"/>
            <w:noWrap w:val="0"/>
            <w:vAlign w:val="center"/>
          </w:tcPr>
          <w:p w14:paraId="67A67C42">
            <w:pPr>
              <w:jc w:val="center"/>
              <w:rPr>
                <w:rFonts w:ascii="宋体" w:hAnsi="宋体" w:cs="宋体"/>
                <w:color w:val="auto"/>
                <w:sz w:val="24"/>
                <w:szCs w:val="24"/>
                <w:highlight w:val="none"/>
              </w:rPr>
            </w:pPr>
            <w:r>
              <w:rPr>
                <w:rFonts w:hint="eastAsia" w:ascii="宋体" w:hAnsi="宋体" w:cs="宋体"/>
                <w:color w:val="auto"/>
                <w:kern w:val="0"/>
                <w:sz w:val="24"/>
                <w:szCs w:val="24"/>
                <w:highlight w:val="none"/>
                <w:lang w:val="en-US" w:eastAsia="zh-CN"/>
              </w:rPr>
              <w:t>2</w:t>
            </w:r>
            <w:r>
              <w:rPr>
                <w:rFonts w:hint="eastAsia" w:ascii="宋体" w:hAnsi="宋体" w:cs="宋体"/>
                <w:color w:val="auto"/>
                <w:kern w:val="0"/>
                <w:sz w:val="24"/>
                <w:szCs w:val="24"/>
                <w:highlight w:val="none"/>
              </w:rPr>
              <w:t>0分</w:t>
            </w:r>
          </w:p>
        </w:tc>
        <w:tc>
          <w:tcPr>
            <w:tcW w:w="4119" w:type="dxa"/>
            <w:noWrap w:val="0"/>
            <w:vAlign w:val="center"/>
          </w:tcPr>
          <w:p w14:paraId="1D44307F">
            <w:pPr>
              <w:ind w:right="113"/>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满足资格审查条件(业绩最低要求)得</w:t>
            </w:r>
            <w:r>
              <w:rPr>
                <w:rFonts w:hint="eastAsia" w:ascii="宋体" w:hAnsi="宋体" w:cs="宋体"/>
                <w:color w:val="auto"/>
                <w:sz w:val="24"/>
                <w:szCs w:val="24"/>
                <w:highlight w:val="none"/>
                <w:lang w:val="en-US" w:eastAsia="zh-CN"/>
              </w:rPr>
              <w:t>12</w:t>
            </w:r>
            <w:r>
              <w:rPr>
                <w:rFonts w:hint="eastAsia" w:ascii="宋体" w:hAnsi="宋体" w:cs="宋体"/>
                <w:color w:val="auto"/>
                <w:sz w:val="24"/>
                <w:szCs w:val="24"/>
                <w:highlight w:val="none"/>
              </w:rPr>
              <w:t>分；</w:t>
            </w:r>
          </w:p>
        </w:tc>
      </w:tr>
      <w:tr w14:paraId="7200D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959" w:type="dxa"/>
            <w:vMerge w:val="continue"/>
            <w:noWrap w:val="0"/>
            <w:vAlign w:val="center"/>
          </w:tcPr>
          <w:p w14:paraId="3508E6FD">
            <w:pPr>
              <w:snapToGrid w:val="0"/>
              <w:spacing w:line="320" w:lineRule="exact"/>
              <w:rPr>
                <w:rFonts w:hint="eastAsia" w:ascii="宋体" w:hAnsi="宋体" w:cs="宋体"/>
                <w:color w:val="auto"/>
                <w:sz w:val="24"/>
                <w:szCs w:val="24"/>
                <w:highlight w:val="none"/>
              </w:rPr>
            </w:pPr>
          </w:p>
        </w:tc>
        <w:tc>
          <w:tcPr>
            <w:tcW w:w="1186" w:type="dxa"/>
            <w:vMerge w:val="continue"/>
            <w:noWrap w:val="0"/>
            <w:vAlign w:val="center"/>
          </w:tcPr>
          <w:p w14:paraId="704EF6BA">
            <w:pPr>
              <w:snapToGrid w:val="0"/>
              <w:spacing w:line="320" w:lineRule="exact"/>
              <w:rPr>
                <w:rFonts w:hint="eastAsia" w:ascii="宋体" w:hAnsi="宋体" w:cs="宋体"/>
                <w:color w:val="auto"/>
                <w:sz w:val="24"/>
                <w:szCs w:val="24"/>
                <w:highlight w:val="none"/>
              </w:rPr>
            </w:pPr>
          </w:p>
        </w:tc>
        <w:tc>
          <w:tcPr>
            <w:tcW w:w="2216" w:type="dxa"/>
            <w:vMerge w:val="continue"/>
            <w:noWrap w:val="0"/>
            <w:vAlign w:val="center"/>
          </w:tcPr>
          <w:p w14:paraId="3D66F0C8">
            <w:pPr>
              <w:snapToGrid w:val="0"/>
              <w:spacing w:line="320" w:lineRule="exact"/>
              <w:rPr>
                <w:rFonts w:hint="eastAsia" w:ascii="宋体" w:hAnsi="宋体" w:cs="宋体"/>
                <w:color w:val="auto"/>
                <w:sz w:val="24"/>
                <w:szCs w:val="24"/>
                <w:highlight w:val="none"/>
              </w:rPr>
            </w:pPr>
          </w:p>
        </w:tc>
        <w:tc>
          <w:tcPr>
            <w:tcW w:w="894" w:type="dxa"/>
            <w:vMerge w:val="continue"/>
            <w:noWrap w:val="0"/>
            <w:vAlign w:val="center"/>
          </w:tcPr>
          <w:p w14:paraId="6E105D9E">
            <w:pPr>
              <w:snapToGrid w:val="0"/>
              <w:spacing w:line="320" w:lineRule="exact"/>
              <w:rPr>
                <w:rFonts w:hint="eastAsia" w:ascii="宋体" w:hAnsi="宋体" w:cs="宋体"/>
                <w:color w:val="auto"/>
                <w:sz w:val="24"/>
                <w:szCs w:val="24"/>
                <w:highlight w:val="none"/>
              </w:rPr>
            </w:pPr>
          </w:p>
        </w:tc>
        <w:tc>
          <w:tcPr>
            <w:tcW w:w="4119" w:type="dxa"/>
            <w:noWrap w:val="0"/>
            <w:vAlign w:val="center"/>
          </w:tcPr>
          <w:p w14:paraId="08C70C4D">
            <w:pPr>
              <w:ind w:right="113"/>
              <w:rPr>
                <w:rFonts w:hint="eastAsia"/>
                <w:highlight w:val="none"/>
              </w:rPr>
            </w:pPr>
            <w:r>
              <w:rPr>
                <w:rFonts w:hint="eastAsia" w:ascii="宋体" w:hAnsi="宋体" w:eastAsia="宋体" w:cs="宋体"/>
                <w:color w:val="auto"/>
                <w:sz w:val="24"/>
                <w:szCs w:val="24"/>
                <w:highlight w:val="none"/>
              </w:rPr>
              <w:t>每增加</w:t>
            </w:r>
            <w:r>
              <w:rPr>
                <w:rFonts w:hint="eastAsia" w:ascii="宋体" w:hAnsi="宋体" w:eastAsia="宋体" w:cs="宋体"/>
                <w:color w:val="auto"/>
                <w:sz w:val="24"/>
                <w:szCs w:val="24"/>
                <w:highlight w:val="none"/>
                <w:lang w:eastAsia="zh-CN"/>
              </w:rPr>
              <w:t>一</w:t>
            </w:r>
            <w:r>
              <w:rPr>
                <w:rFonts w:hint="eastAsia" w:ascii="宋体" w:hAnsi="宋体" w:eastAsia="宋体" w:cs="宋体"/>
                <w:color w:val="auto"/>
                <w:sz w:val="24"/>
                <w:szCs w:val="24"/>
                <w:highlight w:val="none"/>
              </w:rPr>
              <w:t>项满足资格审查条件（业绩最低要求）的业绩加2分，最多加</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分。</w:t>
            </w:r>
          </w:p>
        </w:tc>
      </w:tr>
      <w:tr w14:paraId="7A0EF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6" w:hRule="atLeast"/>
          <w:jc w:val="center"/>
        </w:trPr>
        <w:tc>
          <w:tcPr>
            <w:tcW w:w="959" w:type="dxa"/>
            <w:vMerge w:val="restart"/>
            <w:noWrap w:val="0"/>
            <w:vAlign w:val="center"/>
          </w:tcPr>
          <w:p w14:paraId="7C347ED2">
            <w:pPr>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2.2.</w:t>
            </w:r>
            <w:r>
              <w:rPr>
                <w:rFonts w:hint="eastAsia" w:ascii="宋体" w:hAnsi="宋体" w:cs="宋体"/>
                <w:color w:val="auto"/>
                <w:kern w:val="0"/>
                <w:sz w:val="24"/>
                <w:szCs w:val="24"/>
                <w:highlight w:val="none"/>
                <w:lang w:val="en-US" w:eastAsia="zh-CN"/>
              </w:rPr>
              <w:t>1</w:t>
            </w:r>
          </w:p>
          <w:p w14:paraId="15B052F1">
            <w:pPr>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(2)</w:t>
            </w:r>
          </w:p>
        </w:tc>
        <w:tc>
          <w:tcPr>
            <w:tcW w:w="1186" w:type="dxa"/>
            <w:vMerge w:val="restart"/>
            <w:noWrap w:val="0"/>
            <w:vAlign w:val="center"/>
          </w:tcPr>
          <w:p w14:paraId="24CD4470">
            <w:pPr>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技术部分</w:t>
            </w:r>
          </w:p>
          <w:p w14:paraId="2F735311">
            <w:pPr>
              <w:jc w:val="center"/>
              <w:rPr>
                <w:rFonts w:hint="eastAsia"/>
                <w:color w:val="auto"/>
                <w:highlight w:val="none"/>
                <w:lang w:eastAsia="zh-CN"/>
              </w:rPr>
            </w:pP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8</w:t>
            </w:r>
            <w:r>
              <w:rPr>
                <w:rFonts w:hint="eastAsia" w:ascii="宋体" w:hAnsi="宋体" w:cs="宋体"/>
                <w:color w:val="auto"/>
                <w:kern w:val="0"/>
                <w:sz w:val="24"/>
                <w:szCs w:val="24"/>
                <w:highlight w:val="none"/>
                <w:lang w:eastAsia="zh-CN"/>
              </w:rPr>
              <w:t>0分）</w:t>
            </w:r>
          </w:p>
        </w:tc>
        <w:tc>
          <w:tcPr>
            <w:tcW w:w="2216" w:type="dxa"/>
            <w:noWrap w:val="0"/>
            <w:vAlign w:val="center"/>
          </w:tcPr>
          <w:p w14:paraId="191B6578">
            <w:pPr>
              <w:adjustRightInd w:val="0"/>
              <w:snapToGrid w:val="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投标设备整体评价</w:t>
            </w:r>
          </w:p>
        </w:tc>
        <w:tc>
          <w:tcPr>
            <w:tcW w:w="894" w:type="dxa"/>
            <w:noWrap w:val="0"/>
            <w:vAlign w:val="center"/>
          </w:tcPr>
          <w:p w14:paraId="75D63C5F">
            <w:pPr>
              <w:jc w:val="center"/>
              <w:rPr>
                <w:rFonts w:ascii="宋体" w:hAnsi="宋体" w:cs="宋体"/>
                <w:color w:val="auto"/>
                <w:sz w:val="24"/>
                <w:szCs w:val="24"/>
                <w:highlight w:val="none"/>
              </w:rPr>
            </w:pPr>
            <w:r>
              <w:rPr>
                <w:rFonts w:hint="eastAsia" w:ascii="宋体" w:hAnsi="宋体" w:cs="宋体"/>
                <w:color w:val="auto"/>
                <w:kern w:val="0"/>
                <w:sz w:val="24"/>
                <w:szCs w:val="24"/>
                <w:highlight w:val="none"/>
                <w:lang w:val="en-US" w:eastAsia="zh-CN"/>
              </w:rPr>
              <w:t>2</w:t>
            </w:r>
            <w:r>
              <w:rPr>
                <w:rFonts w:ascii="宋体" w:hAnsi="宋体" w:cs="宋体"/>
                <w:color w:val="auto"/>
                <w:kern w:val="0"/>
                <w:sz w:val="24"/>
                <w:szCs w:val="24"/>
                <w:highlight w:val="none"/>
              </w:rPr>
              <w:t>0</w:t>
            </w:r>
            <w:r>
              <w:rPr>
                <w:rFonts w:hint="eastAsia" w:ascii="宋体" w:hAnsi="宋体" w:cs="宋体"/>
                <w:color w:val="auto"/>
                <w:kern w:val="0"/>
                <w:sz w:val="24"/>
                <w:szCs w:val="24"/>
                <w:highlight w:val="none"/>
              </w:rPr>
              <w:t>分</w:t>
            </w:r>
          </w:p>
        </w:tc>
        <w:tc>
          <w:tcPr>
            <w:tcW w:w="4119" w:type="dxa"/>
            <w:noWrap w:val="0"/>
            <w:vAlign w:val="center"/>
          </w:tcPr>
          <w:p w14:paraId="2490800A">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1.设备整体性能优越、功能齐全、完善，自动化水平高，完全满足招标文件要求，得</w:t>
            </w:r>
            <w:r>
              <w:rPr>
                <w:rFonts w:hint="eastAsia" w:ascii="宋体" w:hAnsi="宋体" w:cs="宋体"/>
                <w:color w:val="auto"/>
                <w:sz w:val="24"/>
                <w:szCs w:val="24"/>
                <w:highlight w:val="none"/>
                <w:lang w:val="en-US" w:eastAsia="zh-CN"/>
              </w:rPr>
              <w:t>16-20</w:t>
            </w:r>
            <w:r>
              <w:rPr>
                <w:rFonts w:hint="eastAsia" w:ascii="宋体" w:hAnsi="宋体" w:eastAsia="宋体" w:cs="宋体"/>
                <w:color w:val="auto"/>
                <w:sz w:val="24"/>
                <w:szCs w:val="24"/>
                <w:highlight w:val="none"/>
              </w:rPr>
              <w:t>分；</w:t>
            </w:r>
          </w:p>
          <w:p w14:paraId="468C9DC1">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2.设备整体性能较高、功能较齐全、较完善，自动化水平较高，满足招标文件要求，得</w:t>
            </w:r>
            <w:r>
              <w:rPr>
                <w:rFonts w:hint="eastAsia" w:ascii="宋体" w:hAnsi="宋体" w:cs="宋体"/>
                <w:color w:val="auto"/>
                <w:sz w:val="24"/>
                <w:szCs w:val="24"/>
                <w:highlight w:val="none"/>
                <w:lang w:val="en-US" w:eastAsia="zh-CN"/>
              </w:rPr>
              <w:t>12-16</w:t>
            </w:r>
            <w:r>
              <w:rPr>
                <w:rFonts w:hint="eastAsia" w:ascii="宋体" w:hAnsi="宋体" w:eastAsia="宋体" w:cs="宋体"/>
                <w:color w:val="auto"/>
                <w:sz w:val="24"/>
                <w:szCs w:val="24"/>
                <w:highlight w:val="none"/>
              </w:rPr>
              <w:t>分；</w:t>
            </w:r>
          </w:p>
          <w:p w14:paraId="76CB4AD5">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3.设备整体性能一般，功能一般，自动化水平一般，基本满足招标文件要求，得</w:t>
            </w:r>
            <w:r>
              <w:rPr>
                <w:rFonts w:hint="eastAsia" w:ascii="宋体" w:hAnsi="宋体" w:cs="宋体"/>
                <w:color w:val="auto"/>
                <w:sz w:val="24"/>
                <w:szCs w:val="24"/>
                <w:highlight w:val="none"/>
                <w:lang w:val="en-US" w:eastAsia="zh-CN"/>
              </w:rPr>
              <w:t>12</w:t>
            </w:r>
            <w:r>
              <w:rPr>
                <w:rFonts w:hint="eastAsia" w:ascii="宋体" w:hAnsi="宋体" w:eastAsia="宋体" w:cs="宋体"/>
                <w:color w:val="auto"/>
                <w:sz w:val="24"/>
                <w:szCs w:val="24"/>
                <w:highlight w:val="none"/>
              </w:rPr>
              <w:t>分。</w:t>
            </w:r>
          </w:p>
        </w:tc>
      </w:tr>
      <w:tr w14:paraId="3B2D2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6" w:hRule="atLeast"/>
          <w:jc w:val="center"/>
        </w:trPr>
        <w:tc>
          <w:tcPr>
            <w:tcW w:w="959" w:type="dxa"/>
            <w:vMerge w:val="continue"/>
            <w:noWrap w:val="0"/>
            <w:vAlign w:val="center"/>
          </w:tcPr>
          <w:p w14:paraId="550FC127">
            <w:pPr>
              <w:jc w:val="center"/>
              <w:rPr>
                <w:rFonts w:hint="eastAsia" w:ascii="宋体" w:hAnsi="宋体" w:cs="宋体"/>
                <w:color w:val="auto"/>
                <w:kern w:val="0"/>
                <w:sz w:val="24"/>
                <w:szCs w:val="24"/>
                <w:highlight w:val="none"/>
              </w:rPr>
            </w:pPr>
          </w:p>
        </w:tc>
        <w:tc>
          <w:tcPr>
            <w:tcW w:w="1186" w:type="dxa"/>
            <w:vMerge w:val="continue"/>
            <w:noWrap w:val="0"/>
            <w:vAlign w:val="center"/>
          </w:tcPr>
          <w:p w14:paraId="144041B6">
            <w:pPr>
              <w:jc w:val="center"/>
              <w:rPr>
                <w:rFonts w:hint="eastAsia" w:ascii="宋体" w:hAnsi="宋体" w:cs="宋体"/>
                <w:color w:val="auto"/>
                <w:kern w:val="0"/>
                <w:sz w:val="24"/>
                <w:szCs w:val="24"/>
                <w:highlight w:val="none"/>
              </w:rPr>
            </w:pPr>
          </w:p>
        </w:tc>
        <w:tc>
          <w:tcPr>
            <w:tcW w:w="2216" w:type="dxa"/>
            <w:vMerge w:val="restart"/>
            <w:noWrap w:val="0"/>
            <w:vAlign w:val="center"/>
          </w:tcPr>
          <w:p w14:paraId="43A86475">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投标设备技术性能指标响应程度</w:t>
            </w:r>
          </w:p>
        </w:tc>
        <w:tc>
          <w:tcPr>
            <w:tcW w:w="894" w:type="dxa"/>
            <w:vMerge w:val="restart"/>
            <w:noWrap w:val="0"/>
            <w:vAlign w:val="center"/>
          </w:tcPr>
          <w:p w14:paraId="2E25541C">
            <w:pPr>
              <w:jc w:val="center"/>
              <w:rPr>
                <w:rFonts w:hint="eastAsia" w:ascii="宋体" w:hAnsi="宋体" w:cs="宋体"/>
                <w:color w:val="auto"/>
                <w:kern w:val="0"/>
                <w:sz w:val="24"/>
                <w:szCs w:val="24"/>
                <w:highlight w:val="none"/>
                <w:u w:val="single"/>
              </w:rPr>
            </w:pPr>
            <w:r>
              <w:rPr>
                <w:rFonts w:ascii="宋体" w:hAnsi="宋体" w:cs="宋体"/>
                <w:color w:val="auto"/>
                <w:kern w:val="0"/>
                <w:sz w:val="24"/>
                <w:szCs w:val="24"/>
                <w:highlight w:val="none"/>
              </w:rPr>
              <w:t>20</w:t>
            </w:r>
            <w:r>
              <w:rPr>
                <w:rFonts w:hint="eastAsia" w:ascii="宋体" w:hAnsi="宋体" w:cs="宋体"/>
                <w:color w:val="auto"/>
                <w:kern w:val="0"/>
                <w:sz w:val="24"/>
                <w:szCs w:val="24"/>
                <w:highlight w:val="none"/>
              </w:rPr>
              <w:t>分</w:t>
            </w:r>
          </w:p>
        </w:tc>
        <w:tc>
          <w:tcPr>
            <w:tcW w:w="4119" w:type="dxa"/>
            <w:noWrap w:val="0"/>
            <w:vAlign w:val="top"/>
          </w:tcPr>
          <w:p w14:paraId="00F040F7">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1.投标产品选型合理，主要组成部件的技术性能参数及功能参数指标高，实用性强、产品设计科学合理、质量可靠，得</w:t>
            </w:r>
            <w:r>
              <w:rPr>
                <w:rFonts w:hint="eastAsia" w:ascii="宋体" w:hAnsi="宋体" w:eastAsia="宋体" w:cs="宋体"/>
                <w:color w:val="auto"/>
                <w:sz w:val="24"/>
                <w:szCs w:val="24"/>
                <w:highlight w:val="none"/>
                <w:lang w:val="en-US" w:eastAsia="zh-CN"/>
              </w:rPr>
              <w:t>16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0分；</w:t>
            </w:r>
          </w:p>
          <w:p w14:paraId="68CCC702">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2.投标产品选型较合理，主要组成部件的技术性能参数及功能参数指标较高，实用性较强、产品设计较合理、质量较可靠，得</w:t>
            </w: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16</w:t>
            </w:r>
            <w:r>
              <w:rPr>
                <w:rFonts w:hint="eastAsia" w:ascii="宋体" w:hAnsi="宋体" w:eastAsia="宋体" w:cs="宋体"/>
                <w:color w:val="auto"/>
                <w:sz w:val="24"/>
                <w:szCs w:val="24"/>
                <w:highlight w:val="none"/>
              </w:rPr>
              <w:t>分；</w:t>
            </w:r>
          </w:p>
          <w:p w14:paraId="4546223F">
            <w:pPr>
              <w:ind w:right="113"/>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3.投标产品选型一般，主要组成部件的技术性能参数及功能参数指标一般，实用性一般、产品设计一般、质量一般，得</w:t>
            </w: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rPr>
              <w:t>分。</w:t>
            </w:r>
          </w:p>
        </w:tc>
      </w:tr>
      <w:tr w14:paraId="27891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1" w:hRule="atLeast"/>
          <w:jc w:val="center"/>
        </w:trPr>
        <w:tc>
          <w:tcPr>
            <w:tcW w:w="959" w:type="dxa"/>
            <w:vMerge w:val="continue"/>
            <w:noWrap w:val="0"/>
            <w:vAlign w:val="center"/>
          </w:tcPr>
          <w:p w14:paraId="789CF3C4">
            <w:pPr>
              <w:jc w:val="center"/>
              <w:rPr>
                <w:rFonts w:hint="eastAsia" w:ascii="宋体" w:hAnsi="宋体" w:cs="宋体"/>
                <w:color w:val="auto"/>
                <w:kern w:val="0"/>
                <w:sz w:val="24"/>
                <w:szCs w:val="24"/>
                <w:highlight w:val="none"/>
              </w:rPr>
            </w:pPr>
          </w:p>
        </w:tc>
        <w:tc>
          <w:tcPr>
            <w:tcW w:w="1186" w:type="dxa"/>
            <w:vMerge w:val="continue"/>
            <w:noWrap w:val="0"/>
            <w:vAlign w:val="center"/>
          </w:tcPr>
          <w:p w14:paraId="4BA45C7D">
            <w:pPr>
              <w:jc w:val="center"/>
              <w:rPr>
                <w:rFonts w:hint="eastAsia" w:ascii="宋体" w:hAnsi="宋体" w:cs="宋体"/>
                <w:color w:val="auto"/>
                <w:kern w:val="0"/>
                <w:sz w:val="24"/>
                <w:szCs w:val="24"/>
                <w:highlight w:val="none"/>
              </w:rPr>
            </w:pPr>
          </w:p>
        </w:tc>
        <w:tc>
          <w:tcPr>
            <w:tcW w:w="2216" w:type="dxa"/>
            <w:vMerge w:val="restart"/>
            <w:noWrap w:val="0"/>
            <w:vAlign w:val="center"/>
          </w:tcPr>
          <w:p w14:paraId="09840C4E">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供货能力及进度保障（暗标）</w:t>
            </w:r>
          </w:p>
        </w:tc>
        <w:tc>
          <w:tcPr>
            <w:tcW w:w="894" w:type="dxa"/>
            <w:vMerge w:val="restart"/>
            <w:noWrap w:val="0"/>
            <w:vAlign w:val="center"/>
          </w:tcPr>
          <w:p w14:paraId="0018FC0E">
            <w:pPr>
              <w:ind w:right="113"/>
              <w:jc w:val="left"/>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0分</w:t>
            </w:r>
          </w:p>
        </w:tc>
        <w:tc>
          <w:tcPr>
            <w:tcW w:w="4119" w:type="dxa"/>
            <w:noWrap w:val="0"/>
            <w:vAlign w:val="top"/>
          </w:tcPr>
          <w:p w14:paraId="158BD368">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1.投标人提供的供货方案切实可行、供货能力强、交货进度有保障、能够保质保量的完成供货，针对供货过程中的特殊情况有预案，得16-20分；</w:t>
            </w:r>
          </w:p>
          <w:p w14:paraId="613FC940">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2.投标人提供的供货方案可行、供货能力较强、交货进度满足招标文件要求，得12-16分；</w:t>
            </w:r>
          </w:p>
          <w:p w14:paraId="730BA81E">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3.投标人提供的供货方案一般、供货能力一般、交货进度基本满足招标文件要求，得12分。</w:t>
            </w:r>
          </w:p>
        </w:tc>
      </w:tr>
      <w:tr w14:paraId="60578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4" w:hRule="atLeast"/>
          <w:jc w:val="center"/>
        </w:trPr>
        <w:tc>
          <w:tcPr>
            <w:tcW w:w="959" w:type="dxa"/>
            <w:vMerge w:val="continue"/>
            <w:noWrap w:val="0"/>
            <w:vAlign w:val="center"/>
          </w:tcPr>
          <w:p w14:paraId="16AF6A0F">
            <w:pPr>
              <w:jc w:val="center"/>
              <w:rPr>
                <w:rFonts w:hint="eastAsia" w:ascii="宋体" w:hAnsi="宋体" w:cs="宋体"/>
                <w:color w:val="auto"/>
                <w:kern w:val="0"/>
                <w:sz w:val="24"/>
                <w:szCs w:val="24"/>
                <w:highlight w:val="none"/>
              </w:rPr>
            </w:pPr>
          </w:p>
        </w:tc>
        <w:tc>
          <w:tcPr>
            <w:tcW w:w="1186" w:type="dxa"/>
            <w:vMerge w:val="continue"/>
            <w:noWrap w:val="0"/>
            <w:vAlign w:val="center"/>
          </w:tcPr>
          <w:p w14:paraId="25905584">
            <w:pPr>
              <w:jc w:val="center"/>
              <w:rPr>
                <w:rFonts w:hint="eastAsia" w:ascii="宋体" w:hAnsi="宋体" w:cs="宋体"/>
                <w:color w:val="auto"/>
                <w:kern w:val="0"/>
                <w:sz w:val="24"/>
                <w:szCs w:val="24"/>
                <w:highlight w:val="none"/>
              </w:rPr>
            </w:pPr>
          </w:p>
        </w:tc>
        <w:tc>
          <w:tcPr>
            <w:tcW w:w="2216" w:type="dxa"/>
            <w:noWrap w:val="0"/>
            <w:vAlign w:val="center"/>
          </w:tcPr>
          <w:p w14:paraId="1939BE8A">
            <w:pPr>
              <w:pStyle w:val="18"/>
              <w:snapToGrid w:val="0"/>
              <w:spacing w:line="32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技术服务及质保期服务</w:t>
            </w:r>
          </w:p>
          <w:p w14:paraId="2EDC6CC7">
            <w:pPr>
              <w:pStyle w:val="18"/>
              <w:snapToGrid w:val="0"/>
              <w:spacing w:line="32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（暗标）</w:t>
            </w:r>
          </w:p>
        </w:tc>
        <w:tc>
          <w:tcPr>
            <w:tcW w:w="894" w:type="dxa"/>
            <w:noWrap w:val="0"/>
            <w:vAlign w:val="center"/>
          </w:tcPr>
          <w:p w14:paraId="7F2EA7E9">
            <w:pPr>
              <w:ind w:right="113"/>
              <w:jc w:val="left"/>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0分</w:t>
            </w:r>
          </w:p>
        </w:tc>
        <w:tc>
          <w:tcPr>
            <w:tcW w:w="4119" w:type="dxa"/>
            <w:noWrap w:val="0"/>
            <w:vAlign w:val="center"/>
          </w:tcPr>
          <w:p w14:paraId="6B62CA0B">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服务方案切实可行，针对性强，</w:t>
            </w:r>
            <w:r>
              <w:rPr>
                <w:rFonts w:hint="eastAsia" w:ascii="宋体" w:hAnsi="宋体" w:eastAsia="宋体" w:cs="宋体"/>
                <w:color w:val="auto"/>
                <w:sz w:val="24"/>
                <w:szCs w:val="24"/>
                <w:highlight w:val="none"/>
              </w:rPr>
              <w:t>服务体系完善</w:t>
            </w:r>
            <w:r>
              <w:rPr>
                <w:rFonts w:hint="eastAsia" w:ascii="宋体" w:hAnsi="宋体" w:eastAsia="宋体" w:cs="宋体"/>
                <w:color w:val="auto"/>
                <w:sz w:val="24"/>
                <w:szCs w:val="24"/>
                <w:highlight w:val="none"/>
                <w:lang w:val="zh-CN"/>
              </w:rPr>
              <w:t>，得</w:t>
            </w:r>
            <w:r>
              <w:rPr>
                <w:rFonts w:hint="eastAsia" w:ascii="宋体" w:hAnsi="宋体" w:cs="宋体"/>
                <w:color w:val="auto"/>
                <w:sz w:val="24"/>
                <w:szCs w:val="24"/>
                <w:highlight w:val="none"/>
                <w:lang w:val="en-US" w:eastAsia="zh-CN"/>
              </w:rPr>
              <w:t>16</w:t>
            </w:r>
            <w:r>
              <w:rPr>
                <w:rFonts w:hint="eastAsia" w:ascii="宋体" w:hAnsi="宋体" w:eastAsia="宋体" w:cs="宋体"/>
                <w:color w:val="auto"/>
                <w:sz w:val="24"/>
                <w:szCs w:val="24"/>
                <w:highlight w:val="none"/>
                <w:lang w:val="zh-CN"/>
              </w:rPr>
              <w:t>-</w:t>
            </w:r>
            <w:r>
              <w:rPr>
                <w:rFonts w:hint="eastAsia" w:ascii="宋体" w:hAnsi="宋体" w:cs="宋体"/>
                <w:color w:val="auto"/>
                <w:sz w:val="24"/>
                <w:szCs w:val="24"/>
                <w:highlight w:val="none"/>
                <w:lang w:val="en-US" w:eastAsia="zh-CN"/>
              </w:rPr>
              <w:t>20</w:t>
            </w:r>
            <w:r>
              <w:rPr>
                <w:rFonts w:hint="eastAsia" w:ascii="宋体" w:hAnsi="宋体" w:eastAsia="宋体" w:cs="宋体"/>
                <w:color w:val="auto"/>
                <w:sz w:val="24"/>
                <w:szCs w:val="24"/>
                <w:highlight w:val="none"/>
                <w:lang w:val="zh-CN"/>
              </w:rPr>
              <w:t>分；</w:t>
            </w:r>
          </w:p>
          <w:p w14:paraId="7A90BDA0">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服务方案较切实可行，针对性较强，</w:t>
            </w:r>
            <w:r>
              <w:rPr>
                <w:rFonts w:hint="eastAsia" w:ascii="宋体" w:hAnsi="宋体" w:eastAsia="宋体" w:cs="宋体"/>
                <w:color w:val="auto"/>
                <w:sz w:val="24"/>
                <w:szCs w:val="24"/>
                <w:highlight w:val="none"/>
              </w:rPr>
              <w:t>服务体系较完善</w:t>
            </w:r>
            <w:r>
              <w:rPr>
                <w:rFonts w:hint="eastAsia" w:ascii="宋体" w:hAnsi="宋体" w:eastAsia="宋体" w:cs="宋体"/>
                <w:color w:val="auto"/>
                <w:sz w:val="24"/>
                <w:szCs w:val="24"/>
                <w:highlight w:val="none"/>
                <w:lang w:val="zh-CN"/>
              </w:rPr>
              <w:t>，得</w:t>
            </w:r>
            <w:r>
              <w:rPr>
                <w:rFonts w:hint="eastAsia" w:ascii="宋体" w:hAnsi="宋体" w:cs="宋体"/>
                <w:color w:val="auto"/>
                <w:sz w:val="24"/>
                <w:szCs w:val="24"/>
                <w:highlight w:val="none"/>
                <w:lang w:val="en-US" w:eastAsia="zh-CN"/>
              </w:rPr>
              <w:t>12</w:t>
            </w:r>
            <w:r>
              <w:rPr>
                <w:rFonts w:hint="eastAsia" w:ascii="宋体" w:hAnsi="宋体" w:eastAsia="宋体" w:cs="宋体"/>
                <w:color w:val="auto"/>
                <w:sz w:val="24"/>
                <w:szCs w:val="24"/>
                <w:highlight w:val="none"/>
                <w:lang w:val="zh-CN"/>
              </w:rPr>
              <w:t>-</w:t>
            </w:r>
            <w:r>
              <w:rPr>
                <w:rFonts w:hint="eastAsia" w:ascii="宋体" w:hAnsi="宋体" w:cs="宋体"/>
                <w:color w:val="auto"/>
                <w:sz w:val="24"/>
                <w:szCs w:val="24"/>
                <w:highlight w:val="none"/>
                <w:lang w:val="en-US" w:eastAsia="zh-CN"/>
              </w:rPr>
              <w:t>16</w:t>
            </w:r>
            <w:r>
              <w:rPr>
                <w:rFonts w:hint="eastAsia" w:ascii="宋体" w:hAnsi="宋体" w:eastAsia="宋体" w:cs="宋体"/>
                <w:color w:val="auto"/>
                <w:sz w:val="24"/>
                <w:szCs w:val="24"/>
                <w:highlight w:val="none"/>
                <w:lang w:val="zh-CN"/>
              </w:rPr>
              <w:t>分；</w:t>
            </w:r>
          </w:p>
          <w:p w14:paraId="3644ACBF">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服务方案基本可行，</w:t>
            </w:r>
            <w:r>
              <w:rPr>
                <w:rFonts w:hint="eastAsia" w:ascii="宋体" w:hAnsi="宋体" w:eastAsia="宋体" w:cs="宋体"/>
                <w:color w:val="auto"/>
                <w:sz w:val="24"/>
                <w:szCs w:val="24"/>
                <w:highlight w:val="none"/>
              </w:rPr>
              <w:t>服务体系基本完善</w:t>
            </w:r>
            <w:r>
              <w:rPr>
                <w:rFonts w:hint="eastAsia" w:ascii="宋体" w:hAnsi="宋体" w:eastAsia="宋体" w:cs="宋体"/>
                <w:color w:val="auto"/>
                <w:sz w:val="24"/>
                <w:szCs w:val="24"/>
                <w:highlight w:val="none"/>
                <w:lang w:val="zh-CN"/>
              </w:rPr>
              <w:t>，得</w:t>
            </w:r>
            <w:r>
              <w:rPr>
                <w:rFonts w:hint="eastAsia" w:ascii="宋体" w:hAnsi="宋体" w:cs="宋体"/>
                <w:color w:val="auto"/>
                <w:sz w:val="24"/>
                <w:szCs w:val="24"/>
                <w:highlight w:val="none"/>
                <w:lang w:val="en-US" w:eastAsia="zh-CN"/>
              </w:rPr>
              <w:t>12</w:t>
            </w:r>
            <w:r>
              <w:rPr>
                <w:rFonts w:hint="eastAsia" w:ascii="宋体" w:hAnsi="宋体" w:eastAsia="宋体" w:cs="宋体"/>
                <w:color w:val="auto"/>
                <w:sz w:val="24"/>
                <w:szCs w:val="24"/>
                <w:highlight w:val="none"/>
                <w:lang w:val="zh-CN"/>
              </w:rPr>
              <w:t>分；</w:t>
            </w:r>
          </w:p>
        </w:tc>
      </w:tr>
      <w:tr w14:paraId="08079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959" w:type="dxa"/>
            <w:tcBorders>
              <w:bottom w:val="single" w:color="auto" w:sz="4" w:space="0"/>
            </w:tcBorders>
            <w:noWrap w:val="0"/>
            <w:vAlign w:val="center"/>
          </w:tcPr>
          <w:p w14:paraId="6CACC853">
            <w:pPr>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2.2.</w:t>
            </w:r>
            <w:r>
              <w:rPr>
                <w:rFonts w:hint="eastAsia" w:ascii="宋体" w:hAnsi="宋体" w:cs="宋体"/>
                <w:color w:val="auto"/>
                <w:kern w:val="0"/>
                <w:sz w:val="24"/>
                <w:szCs w:val="24"/>
                <w:highlight w:val="none"/>
                <w:lang w:val="en-US" w:eastAsia="zh-CN"/>
              </w:rPr>
              <w:t>1</w:t>
            </w:r>
          </w:p>
          <w:p w14:paraId="65DCA605">
            <w:pPr>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(3)</w:t>
            </w:r>
          </w:p>
        </w:tc>
        <w:tc>
          <w:tcPr>
            <w:tcW w:w="1186" w:type="dxa"/>
            <w:tcBorders>
              <w:bottom w:val="single" w:color="auto" w:sz="4" w:space="0"/>
            </w:tcBorders>
            <w:noWrap w:val="0"/>
            <w:vAlign w:val="center"/>
          </w:tcPr>
          <w:p w14:paraId="50E61056">
            <w:pPr>
              <w:ind w:left="144" w:hanging="144" w:hangingChars="60"/>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其他</w:t>
            </w:r>
            <w:r>
              <w:rPr>
                <w:rFonts w:hint="eastAsia" w:ascii="宋体" w:hAnsi="宋体" w:cs="宋体"/>
                <w:color w:val="auto"/>
                <w:kern w:val="0"/>
                <w:sz w:val="24"/>
                <w:szCs w:val="24"/>
                <w:highlight w:val="none"/>
                <w:lang w:val="en-US" w:eastAsia="zh-CN"/>
              </w:rPr>
              <w:t>评分</w:t>
            </w:r>
            <w:r>
              <w:rPr>
                <w:rFonts w:hint="eastAsia" w:ascii="宋体" w:hAnsi="宋体" w:cs="宋体"/>
                <w:color w:val="auto"/>
                <w:kern w:val="0"/>
                <w:sz w:val="24"/>
                <w:szCs w:val="24"/>
                <w:highlight w:val="none"/>
              </w:rPr>
              <w:t>因素</w:t>
            </w:r>
          </w:p>
        </w:tc>
        <w:tc>
          <w:tcPr>
            <w:tcW w:w="7229" w:type="dxa"/>
            <w:gridSpan w:val="3"/>
            <w:tcBorders>
              <w:bottom w:val="single" w:color="auto" w:sz="4" w:space="0"/>
            </w:tcBorders>
            <w:noWrap w:val="0"/>
            <w:vAlign w:val="center"/>
          </w:tcPr>
          <w:p w14:paraId="720F304D">
            <w:pPr>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无</w:t>
            </w:r>
          </w:p>
        </w:tc>
      </w:tr>
    </w:tbl>
    <w:p w14:paraId="4BFBD247">
      <w:pPr>
        <w:pStyle w:val="8"/>
        <w:adjustRightInd w:val="0"/>
        <w:snapToGrid w:val="0"/>
        <w:spacing w:line="360" w:lineRule="auto"/>
        <w:jc w:val="left"/>
        <w:textAlignment w:val="baseline"/>
        <w:rPr>
          <w:rFonts w:hAnsi="宋体"/>
          <w:snapToGrid w:val="0"/>
          <w:color w:val="auto"/>
          <w:kern w:val="0"/>
          <w:sz w:val="24"/>
          <w:szCs w:val="24"/>
          <w:highlight w:val="none"/>
        </w:rPr>
      </w:pPr>
      <w:r>
        <w:rPr>
          <w:rFonts w:hAnsi="宋体"/>
          <w:snapToGrid w:val="0"/>
          <w:color w:val="auto"/>
          <w:kern w:val="0"/>
          <w:sz w:val="24"/>
          <w:szCs w:val="24"/>
          <w:highlight w:val="none"/>
        </w:rPr>
        <w:t>注：</w:t>
      </w:r>
    </w:p>
    <w:p w14:paraId="46ED200A">
      <w:pPr>
        <w:pStyle w:val="8"/>
        <w:adjustRightInd w:val="0"/>
        <w:snapToGrid w:val="0"/>
        <w:spacing w:line="360" w:lineRule="auto"/>
        <w:jc w:val="left"/>
        <w:textAlignment w:val="baseline"/>
        <w:rPr>
          <w:rFonts w:hint="eastAsia" w:hAnsi="宋体" w:eastAsia="宋体"/>
          <w:snapToGrid w:val="0"/>
          <w:color w:val="auto"/>
          <w:kern w:val="0"/>
          <w:sz w:val="24"/>
          <w:szCs w:val="24"/>
          <w:highlight w:val="none"/>
          <w:lang w:eastAsia="zh-CN"/>
        </w:rPr>
      </w:pPr>
      <w:r>
        <w:rPr>
          <w:rFonts w:hAnsi="宋体"/>
          <w:snapToGrid w:val="0"/>
          <w:color w:val="auto"/>
          <w:kern w:val="0"/>
          <w:sz w:val="24"/>
          <w:szCs w:val="24"/>
          <w:highlight w:val="none"/>
        </w:rPr>
        <w:t>1、评委打分保留1位小数</w:t>
      </w:r>
      <w:r>
        <w:rPr>
          <w:rFonts w:hint="eastAsia" w:hAnsi="宋体"/>
          <w:snapToGrid w:val="0"/>
          <w:color w:val="auto"/>
          <w:kern w:val="0"/>
          <w:sz w:val="24"/>
          <w:szCs w:val="24"/>
          <w:highlight w:val="none"/>
        </w:rPr>
        <w:t>，各评分因素得分应以评标委员会各成员的打分平均值确定，保留两位小数，第三位四舍五入。</w:t>
      </w:r>
    </w:p>
    <w:p w14:paraId="3DF6A1FF">
      <w:pPr>
        <w:pStyle w:val="8"/>
        <w:adjustRightInd w:val="0"/>
        <w:snapToGrid w:val="0"/>
        <w:spacing w:line="360" w:lineRule="auto"/>
        <w:jc w:val="left"/>
        <w:textAlignment w:val="baseline"/>
        <w:rPr>
          <w:rFonts w:hAnsi="宋体"/>
          <w:snapToGrid w:val="0"/>
          <w:color w:val="auto"/>
          <w:kern w:val="0"/>
          <w:sz w:val="24"/>
          <w:szCs w:val="24"/>
          <w:highlight w:val="none"/>
        </w:rPr>
      </w:pPr>
      <w:r>
        <w:rPr>
          <w:rFonts w:hAnsi="宋体"/>
          <w:snapToGrid w:val="0"/>
          <w:color w:val="auto"/>
          <w:kern w:val="0"/>
          <w:sz w:val="24"/>
          <w:szCs w:val="24"/>
          <w:highlight w:val="none"/>
        </w:rPr>
        <w:t>2、</w:t>
      </w:r>
      <w:r>
        <w:rPr>
          <w:rFonts w:hint="eastAsia" w:hAnsi="宋体"/>
          <w:snapToGrid w:val="0"/>
          <w:color w:val="auto"/>
          <w:kern w:val="0"/>
          <w:sz w:val="24"/>
          <w:szCs w:val="24"/>
          <w:highlight w:val="none"/>
        </w:rPr>
        <w:t>第2.2.</w:t>
      </w:r>
      <w:r>
        <w:rPr>
          <w:rFonts w:hint="eastAsia" w:hAnsi="宋体"/>
          <w:snapToGrid w:val="0"/>
          <w:color w:val="auto"/>
          <w:kern w:val="0"/>
          <w:sz w:val="24"/>
          <w:szCs w:val="24"/>
          <w:highlight w:val="none"/>
          <w:lang w:val="en-US" w:eastAsia="zh-CN"/>
        </w:rPr>
        <w:t>1</w:t>
      </w:r>
      <w:r>
        <w:rPr>
          <w:rFonts w:hint="eastAsia" w:hAnsi="宋体"/>
          <w:snapToGrid w:val="0"/>
          <w:color w:val="auto"/>
          <w:kern w:val="0"/>
          <w:sz w:val="24"/>
          <w:szCs w:val="24"/>
          <w:highlight w:val="none"/>
        </w:rPr>
        <w:t>（</w:t>
      </w:r>
      <w:r>
        <w:rPr>
          <w:rFonts w:hint="eastAsia" w:hAnsi="宋体"/>
          <w:snapToGrid w:val="0"/>
          <w:color w:val="auto"/>
          <w:kern w:val="0"/>
          <w:sz w:val="24"/>
          <w:szCs w:val="24"/>
          <w:highlight w:val="none"/>
          <w:lang w:val="en-US" w:eastAsia="zh-CN"/>
        </w:rPr>
        <w:t>2</w:t>
      </w:r>
      <w:r>
        <w:rPr>
          <w:rFonts w:hint="eastAsia" w:hAnsi="宋体"/>
          <w:snapToGrid w:val="0"/>
          <w:color w:val="auto"/>
          <w:kern w:val="0"/>
          <w:sz w:val="24"/>
          <w:szCs w:val="24"/>
          <w:highlight w:val="none"/>
        </w:rPr>
        <w:t>）项评标委员会成员对某一项评分因素的评分低于权重分值 60%的，应在评标报告中作出说明。评审</w:t>
      </w:r>
      <w:r>
        <w:rPr>
          <w:rFonts w:hint="eastAsia" w:hAnsi="宋体"/>
          <w:snapToGrid w:val="0"/>
          <w:color w:val="auto"/>
          <w:kern w:val="0"/>
          <w:sz w:val="24"/>
          <w:szCs w:val="24"/>
          <w:highlight w:val="none"/>
          <w:lang w:val="en-US" w:eastAsia="zh-CN"/>
        </w:rPr>
        <w:t>因素细分项</w:t>
      </w:r>
      <w:r>
        <w:rPr>
          <w:rFonts w:hint="eastAsia" w:hAnsi="宋体"/>
          <w:snapToGrid w:val="0"/>
          <w:color w:val="auto"/>
          <w:kern w:val="0"/>
          <w:sz w:val="24"/>
          <w:szCs w:val="24"/>
          <w:highlight w:val="none"/>
        </w:rPr>
        <w:t>缺项则该项得0分。</w:t>
      </w:r>
    </w:p>
    <w:p w14:paraId="7759EEE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Cambria">
    <w:panose1 w:val="02040503050406030204"/>
    <w:charset w:val="00"/>
    <w:family w:val="roman"/>
    <w:pitch w:val="default"/>
    <w:sig w:usb0="E00002FF" w:usb1="400004FF"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974297"/>
    <w:multiLevelType w:val="singleLevel"/>
    <w:tmpl w:val="0A974297"/>
    <w:lvl w:ilvl="0" w:tentative="0">
      <w:start w:val="1"/>
      <w:numFmt w:val="decimal"/>
      <w:suff w:val="nothing"/>
      <w:lvlText w:val="（%1）"/>
      <w:lvlJc w:val="left"/>
    </w:lvl>
  </w:abstractNum>
  <w:abstractNum w:abstractNumId="1">
    <w:nsid w:val="0C2CD8E5"/>
    <w:multiLevelType w:val="singleLevel"/>
    <w:tmpl w:val="0C2CD8E5"/>
    <w:lvl w:ilvl="0" w:tentative="0">
      <w:start w:val="1"/>
      <w:numFmt w:val="decimal"/>
      <w:pStyle w:val="9"/>
      <w:lvlText w:val="%1."/>
      <w:lvlJc w:val="left"/>
      <w:pPr>
        <w:tabs>
          <w:tab w:val="left" w:pos="2040"/>
        </w:tabs>
        <w:ind w:left="204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6004B4"/>
    <w:rsid w:val="346004B4"/>
    <w:rsid w:val="640E27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nhideWhenUsed="0" w:uiPriority="9"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3"/>
    <w:basedOn w:val="1"/>
    <w:next w:val="1"/>
    <w:qFormat/>
    <w:uiPriority w:val="9"/>
    <w:pPr>
      <w:keepNext/>
      <w:keepLines/>
      <w:spacing w:before="50" w:beforeLines="50" w:line="415" w:lineRule="auto"/>
      <w:outlineLvl w:val="2"/>
    </w:pPr>
    <w:rPr>
      <w:b/>
      <w:bCs/>
      <w:sz w:val="32"/>
      <w:szCs w:val="32"/>
    </w:rPr>
  </w:style>
  <w:style w:type="paragraph" w:styleId="3">
    <w:name w:val="heading 6"/>
    <w:basedOn w:val="1"/>
    <w:next w:val="1"/>
    <w:qFormat/>
    <w:uiPriority w:val="9"/>
    <w:pPr>
      <w:keepNext/>
      <w:keepLines/>
      <w:spacing w:before="240" w:after="64" w:line="320" w:lineRule="auto"/>
      <w:outlineLvl w:val="5"/>
    </w:pPr>
    <w:rPr>
      <w:rFonts w:ascii="等线 Light" w:hAnsi="等线 Light" w:eastAsia="等线 Light" w:cs="Times New Roman"/>
      <w:b/>
      <w:bCs/>
      <w:sz w:val="24"/>
      <w:szCs w:val="24"/>
    </w:rPr>
  </w:style>
  <w:style w:type="character" w:default="1" w:styleId="12">
    <w:name w:val="Default Paragraph Font"/>
    <w:semiHidden/>
    <w:qFormat/>
    <w:uiPriority w:val="0"/>
  </w:style>
  <w:style w:type="table" w:default="1" w:styleId="11">
    <w:name w:val="Normal Table"/>
    <w:semiHidden/>
    <w:uiPriority w:val="0"/>
    <w:tblPr>
      <w:tblCellMar>
        <w:top w:w="0" w:type="dxa"/>
        <w:left w:w="108" w:type="dxa"/>
        <w:bottom w:w="0" w:type="dxa"/>
        <w:right w:w="108" w:type="dxa"/>
      </w:tblCellMar>
    </w:tblPr>
  </w:style>
  <w:style w:type="paragraph" w:styleId="4">
    <w:name w:val="caption"/>
    <w:basedOn w:val="1"/>
    <w:next w:val="1"/>
    <w:qFormat/>
    <w:uiPriority w:val="0"/>
    <w:rPr>
      <w:rFonts w:ascii="Arial" w:hAnsi="Arial" w:eastAsia="黑体"/>
      <w:kern w:val="2"/>
      <w:sz w:val="20"/>
    </w:rPr>
  </w:style>
  <w:style w:type="paragraph" w:styleId="5">
    <w:name w:val="toa heading"/>
    <w:basedOn w:val="1"/>
    <w:next w:val="1"/>
    <w:unhideWhenUsed/>
    <w:qFormat/>
    <w:uiPriority w:val="99"/>
    <w:pPr>
      <w:spacing w:before="120"/>
      <w:ind w:firstLine="560" w:firstLineChars="200"/>
    </w:pPr>
    <w:rPr>
      <w:rFonts w:ascii="Cambria" w:hAnsi="Cambria"/>
      <w:szCs w:val="24"/>
    </w:rPr>
  </w:style>
  <w:style w:type="paragraph" w:styleId="6">
    <w:name w:val="Body Text"/>
    <w:basedOn w:val="1"/>
    <w:qFormat/>
    <w:uiPriority w:val="1"/>
    <w:pPr>
      <w:ind w:left="100"/>
      <w:jc w:val="left"/>
    </w:pPr>
    <w:rPr>
      <w:rFonts w:ascii="宋体" w:hAnsi="宋体" w:cs="Times New Roman"/>
      <w:kern w:val="0"/>
      <w:szCs w:val="21"/>
      <w:lang w:eastAsia="en-US"/>
    </w:rPr>
  </w:style>
  <w:style w:type="paragraph" w:styleId="7">
    <w:name w:val="Body Text Indent"/>
    <w:basedOn w:val="1"/>
    <w:unhideWhenUsed/>
    <w:qFormat/>
    <w:uiPriority w:val="99"/>
    <w:pPr>
      <w:spacing w:after="120"/>
      <w:ind w:left="420" w:leftChars="200"/>
    </w:pPr>
  </w:style>
  <w:style w:type="paragraph" w:styleId="8">
    <w:name w:val="Plain Text"/>
    <w:basedOn w:val="1"/>
    <w:next w:val="9"/>
    <w:qFormat/>
    <w:uiPriority w:val="0"/>
    <w:rPr>
      <w:rFonts w:ascii="宋体" w:hAnsi="Courier New"/>
      <w:szCs w:val="20"/>
    </w:rPr>
  </w:style>
  <w:style w:type="paragraph" w:styleId="9">
    <w:name w:val="List Number 5"/>
    <w:basedOn w:val="1"/>
    <w:uiPriority w:val="0"/>
    <w:pPr>
      <w:numPr>
        <w:ilvl w:val="0"/>
        <w:numId w:val="1"/>
      </w:numPr>
    </w:pPr>
  </w:style>
  <w:style w:type="paragraph" w:styleId="10">
    <w:name w:val="Body Text First Indent 2"/>
    <w:basedOn w:val="7"/>
    <w:unhideWhenUsed/>
    <w:qFormat/>
    <w:uiPriority w:val="99"/>
    <w:pPr>
      <w:tabs>
        <w:tab w:val="left" w:pos="5580"/>
      </w:tabs>
      <w:ind w:left="420" w:leftChars="200" w:firstLine="420"/>
    </w:pPr>
    <w:rPr>
      <w:rFonts w:ascii="Times New Roman" w:hAnsi="Times New Roman"/>
      <w:sz w:val="21"/>
    </w:rPr>
  </w:style>
  <w:style w:type="paragraph" w:customStyle="1" w:styleId="13">
    <w:name w:val="1正文"/>
    <w:basedOn w:val="1"/>
    <w:autoRedefine/>
    <w:qFormat/>
    <w:uiPriority w:val="0"/>
    <w:pPr>
      <w:ind w:firstLine="480"/>
    </w:pPr>
    <w:rPr>
      <w:rFonts w:cs="宋体"/>
      <w:szCs w:val="24"/>
    </w:rPr>
  </w:style>
  <w:style w:type="paragraph" w:customStyle="1" w:styleId="14">
    <w:name w:val="大标题"/>
    <w:basedOn w:val="1"/>
    <w:next w:val="10"/>
    <w:autoRedefine/>
    <w:qFormat/>
    <w:uiPriority w:val="0"/>
    <w:pPr>
      <w:jc w:val="center"/>
    </w:pPr>
    <w:rPr>
      <w:rFonts w:ascii="Arial" w:hAnsi="Arial"/>
      <w:b/>
      <w:sz w:val="28"/>
    </w:rPr>
  </w:style>
  <w:style w:type="character" w:customStyle="1" w:styleId="15">
    <w:name w:val="NormalCharacter"/>
    <w:link w:val="16"/>
    <w:autoRedefine/>
    <w:qFormat/>
    <w:uiPriority w:val="0"/>
    <w:rPr>
      <w:kern w:val="0"/>
      <w:sz w:val="20"/>
      <w:szCs w:val="20"/>
    </w:rPr>
  </w:style>
  <w:style w:type="paragraph" w:customStyle="1" w:styleId="16">
    <w:name w:val="UserStyle_24"/>
    <w:basedOn w:val="1"/>
    <w:link w:val="15"/>
    <w:autoRedefine/>
    <w:qFormat/>
    <w:uiPriority w:val="0"/>
    <w:pPr>
      <w:widowControl/>
      <w:spacing w:line="360" w:lineRule="auto"/>
      <w:ind w:firstLine="200" w:firstLineChars="200"/>
      <w:jc w:val="left"/>
    </w:pPr>
    <w:rPr>
      <w:kern w:val="0"/>
      <w:sz w:val="20"/>
      <w:szCs w:val="20"/>
    </w:rPr>
  </w:style>
  <w:style w:type="paragraph" w:customStyle="1" w:styleId="17">
    <w:name w:val="UserStyle_340"/>
    <w:basedOn w:val="1"/>
    <w:autoRedefine/>
    <w:qFormat/>
    <w:uiPriority w:val="0"/>
    <w:pPr>
      <w:widowControl/>
      <w:spacing w:line="340" w:lineRule="exact"/>
      <w:jc w:val="center"/>
    </w:pPr>
    <w:rPr>
      <w:rFonts w:ascii="宋体" w:hAnsi="Calibri"/>
      <w:bCs/>
      <w:color w:val="000000"/>
      <w:kern w:val="0"/>
      <w:szCs w:val="21"/>
    </w:rPr>
  </w:style>
  <w:style w:type="paragraph" w:customStyle="1" w:styleId="18">
    <w:name w:val="Table Paragraph"/>
    <w:basedOn w:val="1"/>
    <w:qFormat/>
    <w:uiPriority w:val="1"/>
    <w:pPr>
      <w:jc w:val="left"/>
    </w:pPr>
    <w:rPr>
      <w:rFonts w:ascii="Calibri" w:hAnsi="Calibri" w:eastAsia="宋体" w:cs="Times New Roman"/>
      <w:kern w:val="0"/>
      <w:sz w:val="22"/>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6476</Words>
  <Characters>7184</Characters>
  <Lines>0</Lines>
  <Paragraphs>0</Paragraphs>
  <TotalTime>0</TotalTime>
  <ScaleCrop>false</ScaleCrop>
  <LinksUpToDate>false</LinksUpToDate>
  <CharactersWithSpaces>7273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2026-07-09T02:34:00Z</dcterms:created>
  <dc:creator>Administrator</dc:creator>
  <cp:lastModifiedBy>李娜</cp:lastModifiedBy>
  <dcterms:modified xsi:type="dcterms:W3CDTF">2026-07-09T02:44:36Z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DF3ABA34F08041098B6A198E0D895281_11</vt:lpwstr>
  </property>
  <property fmtid="{D5CDD505-2E9C-101B-9397-08002B2CF9AE}" pid="4" name="KSOTemplateDocerSaveRecord">
    <vt:lpwstr>eyJoZGlkIjoiOWYyZDYxNTJjZmI2NmVkYTMyOWVjMGFiZjEzZGM5NjgiLCJ1c2VySWQiOiIxNTI1NDExOTAzIn0=</vt:lpwstr>
  </property>
</Properties>
</file>