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C94CE1">
      <w:pPr>
        <w:wordWrap w:val="0"/>
        <w:outlineLvl w:val="3"/>
        <w:rPr>
          <w:rFonts w:ascii="Times New Roman" w:hAnsi="Times New Roman" w:eastAsia="宋体" w:cs="Times New Roman"/>
          <w:b/>
          <w:color w:val="000000"/>
          <w:sz w:val="24"/>
          <w:szCs w:val="24"/>
          <w:highlight w:val="none"/>
        </w:rPr>
      </w:pPr>
      <w:bookmarkStart w:id="1" w:name="_GoBack"/>
      <w:bookmarkEnd w:id="1"/>
      <w:r>
        <w:rPr>
          <w:rFonts w:ascii="Times New Roman" w:hAnsi="Times New Roman" w:eastAsia="宋体" w:cs="Times New Roman"/>
          <w:b/>
          <w:color w:val="000000"/>
          <w:sz w:val="24"/>
          <w:szCs w:val="24"/>
          <w:highlight w:val="none"/>
        </w:rPr>
        <w:t>附件1：</w:t>
      </w:r>
      <w:bookmarkStart w:id="0" w:name="_Toc404712451"/>
      <w:r>
        <w:rPr>
          <w:rFonts w:ascii="Times New Roman" w:hAnsi="Times New Roman" w:eastAsia="宋体" w:cs="Times New Roman"/>
          <w:b/>
          <w:color w:val="000000"/>
          <w:sz w:val="24"/>
          <w:szCs w:val="24"/>
          <w:highlight w:val="none"/>
        </w:rPr>
        <w:t>资格审查条件</w:t>
      </w:r>
      <w:bookmarkEnd w:id="0"/>
    </w:p>
    <w:p w14:paraId="1DCCD1D3">
      <w:pPr>
        <w:wordWrap w:val="0"/>
        <w:rPr>
          <w:rFonts w:ascii="Times New Roman" w:hAnsi="Times New Roman" w:eastAsia="宋体" w:cs="Times New Roman"/>
          <w:b/>
          <w:color w:val="000000"/>
          <w:sz w:val="28"/>
          <w:szCs w:val="28"/>
          <w:highlight w:val="none"/>
        </w:rPr>
      </w:pPr>
    </w:p>
    <w:p w14:paraId="490790BA">
      <w:pPr>
        <w:wordWrap w:val="0"/>
        <w:jc w:val="center"/>
        <w:rPr>
          <w:rFonts w:ascii="Times New Roman" w:hAnsi="Times New Roman" w:eastAsia="宋体" w:cs="Times New Roman"/>
          <w:color w:val="000000"/>
          <w:szCs w:val="22"/>
          <w:highlight w:val="none"/>
        </w:rPr>
      </w:pPr>
      <w:r>
        <w:rPr>
          <w:rFonts w:ascii="Times New Roman" w:hAnsi="Times New Roman" w:eastAsia="宋体" w:cs="Times New Roman"/>
          <w:b/>
          <w:color w:val="000000"/>
          <w:sz w:val="24"/>
          <w:szCs w:val="22"/>
          <w:highlight w:val="none"/>
        </w:rPr>
        <w:t>附录1  资格审查条件（资质最低要求）</w:t>
      </w:r>
    </w:p>
    <w:tbl>
      <w:tblPr>
        <w:tblStyle w:val="4"/>
        <w:tblpPr w:leftFromText="181" w:rightFromText="181" w:vertAnchor="text" w:horzAnchor="margin" w:tblpXSpec="center" w:tblpY="30"/>
        <w:tblW w:w="5072"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28" w:type="dxa"/>
          <w:left w:w="28" w:type="dxa"/>
          <w:bottom w:w="28" w:type="dxa"/>
          <w:right w:w="28" w:type="dxa"/>
        </w:tblCellMar>
      </w:tblPr>
      <w:tblGrid>
        <w:gridCol w:w="9166"/>
      </w:tblGrid>
      <w:tr w14:paraId="6F7225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483" w:hRule="atLeast"/>
          <w:tblHeader/>
        </w:trPr>
        <w:tc>
          <w:tcPr>
            <w:tcW w:w="5000" w:type="pct"/>
            <w:noWrap w:val="0"/>
            <w:vAlign w:val="center"/>
          </w:tcPr>
          <w:p w14:paraId="45D3DDD2">
            <w:pPr>
              <w:wordWrap w:val="0"/>
              <w:adjustRightInd w:val="0"/>
              <w:snapToGrid w:val="0"/>
              <w:jc w:val="center"/>
              <w:rPr>
                <w:rFonts w:ascii="Times New Roman" w:hAnsi="Times New Roman" w:eastAsia="宋体" w:cs="Times New Roman"/>
                <w:b/>
                <w:bCs/>
                <w:color w:val="000000"/>
                <w:szCs w:val="21"/>
                <w:highlight w:val="none"/>
              </w:rPr>
            </w:pPr>
            <w:r>
              <w:rPr>
                <w:rFonts w:ascii="Times New Roman" w:hAnsi="Times New Roman" w:eastAsia="宋体" w:cs="Times New Roman"/>
                <w:b/>
                <w:bCs/>
                <w:color w:val="000000"/>
                <w:szCs w:val="21"/>
                <w:highlight w:val="none"/>
              </w:rPr>
              <w:t>资质要求</w:t>
            </w:r>
          </w:p>
        </w:tc>
      </w:tr>
      <w:tr w14:paraId="66BEC7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872" w:hRule="atLeast"/>
        </w:trPr>
        <w:tc>
          <w:tcPr>
            <w:tcW w:w="5000" w:type="pct"/>
            <w:noWrap w:val="0"/>
            <w:vAlign w:val="center"/>
          </w:tcPr>
          <w:p w14:paraId="4F5CDBF8">
            <w:pPr>
              <w:wordWrap w:val="0"/>
              <w:adjustRightInd w:val="0"/>
              <w:snapToGrid w:val="0"/>
              <w:rPr>
                <w:rFonts w:hint="eastAsia" w:ascii="Times New Roman" w:hAnsi="Times New Roman" w:eastAsia="宋体" w:cs="Times New Roman"/>
                <w:color w:val="000000"/>
                <w:szCs w:val="22"/>
                <w:highlight w:val="none"/>
                <w:lang w:eastAsia="zh-CN"/>
              </w:rPr>
            </w:pPr>
            <w:r>
              <w:rPr>
                <w:rFonts w:hint="eastAsia" w:ascii="Times New Roman" w:hAnsi="Times New Roman" w:eastAsia="宋体" w:cs="Times New Roman"/>
                <w:color w:val="000000"/>
                <w:szCs w:val="22"/>
                <w:highlight w:val="none"/>
                <w:lang w:eastAsia="zh-CN"/>
              </w:rPr>
              <w:t>投标人应是中华人民共和国境内的法人或其他组织，持有有效的营业执照</w:t>
            </w:r>
            <w:r>
              <w:rPr>
                <w:rFonts w:hint="eastAsia" w:ascii="Times New Roman" w:hAnsi="Times New Roman" w:eastAsia="宋体" w:cs="Times New Roman"/>
                <w:color w:val="000000"/>
                <w:szCs w:val="22"/>
                <w:highlight w:val="none"/>
                <w:lang w:val="en-US" w:eastAsia="zh-CN"/>
              </w:rPr>
              <w:t>的制造商或经销商</w:t>
            </w:r>
            <w:r>
              <w:rPr>
                <w:rFonts w:hint="eastAsia" w:ascii="Times New Roman" w:hAnsi="Times New Roman" w:eastAsia="宋体" w:cs="Times New Roman"/>
                <w:color w:val="000000"/>
                <w:szCs w:val="22"/>
                <w:highlight w:val="none"/>
                <w:lang w:eastAsia="zh-CN"/>
              </w:rPr>
              <w:t>。</w:t>
            </w:r>
          </w:p>
        </w:tc>
      </w:tr>
    </w:tbl>
    <w:p w14:paraId="3D4579CB">
      <w:pPr>
        <w:wordWrap w:val="0"/>
        <w:jc w:val="center"/>
        <w:rPr>
          <w:rFonts w:ascii="Times New Roman" w:hAnsi="Times New Roman" w:eastAsia="宋体" w:cs="Times New Roman"/>
          <w:b/>
          <w:color w:val="000000"/>
          <w:sz w:val="24"/>
          <w:szCs w:val="22"/>
          <w:highlight w:val="none"/>
        </w:rPr>
      </w:pPr>
    </w:p>
    <w:p w14:paraId="247B600D">
      <w:pPr>
        <w:wordWrap w:val="0"/>
        <w:jc w:val="center"/>
        <w:rPr>
          <w:rFonts w:ascii="Times New Roman" w:hAnsi="Times New Roman" w:eastAsia="宋体" w:cs="Times New Roman"/>
          <w:b/>
          <w:color w:val="000000"/>
          <w:sz w:val="24"/>
          <w:szCs w:val="22"/>
          <w:highlight w:val="none"/>
        </w:rPr>
      </w:pPr>
    </w:p>
    <w:p w14:paraId="4DD29A4E">
      <w:pPr>
        <w:wordWrap w:val="0"/>
        <w:jc w:val="both"/>
        <w:rPr>
          <w:rFonts w:ascii="Times New Roman" w:hAnsi="Times New Roman" w:eastAsia="宋体" w:cs="Times New Roman"/>
          <w:b/>
          <w:color w:val="000000"/>
          <w:sz w:val="24"/>
          <w:szCs w:val="22"/>
          <w:highlight w:val="none"/>
        </w:rPr>
      </w:pPr>
    </w:p>
    <w:p w14:paraId="30196222">
      <w:pPr>
        <w:wordWrap w:val="0"/>
        <w:jc w:val="center"/>
        <w:rPr>
          <w:rFonts w:ascii="Times New Roman" w:hAnsi="Times New Roman" w:eastAsia="宋体" w:cs="Times New Roman"/>
          <w:b/>
          <w:color w:val="000000"/>
          <w:sz w:val="24"/>
          <w:szCs w:val="22"/>
          <w:highlight w:val="none"/>
        </w:rPr>
      </w:pPr>
      <w:r>
        <w:rPr>
          <w:rFonts w:ascii="Times New Roman" w:hAnsi="Times New Roman" w:eastAsia="宋体" w:cs="Times New Roman"/>
          <w:b/>
          <w:color w:val="000000"/>
          <w:sz w:val="24"/>
          <w:szCs w:val="22"/>
          <w:highlight w:val="none"/>
        </w:rPr>
        <w:t>附录</w:t>
      </w:r>
      <w:r>
        <w:rPr>
          <w:rFonts w:hint="eastAsia" w:ascii="Times New Roman" w:hAnsi="Times New Roman" w:eastAsia="宋体" w:cs="Times New Roman"/>
          <w:b/>
          <w:color w:val="000000"/>
          <w:sz w:val="24"/>
          <w:szCs w:val="22"/>
          <w:highlight w:val="none"/>
          <w:lang w:val="en-US" w:eastAsia="zh-CN"/>
        </w:rPr>
        <w:t>2</w:t>
      </w:r>
      <w:r>
        <w:rPr>
          <w:rFonts w:ascii="Times New Roman" w:hAnsi="Times New Roman" w:eastAsia="宋体" w:cs="Times New Roman"/>
          <w:b/>
          <w:color w:val="000000"/>
          <w:sz w:val="24"/>
          <w:szCs w:val="22"/>
          <w:highlight w:val="none"/>
        </w:rPr>
        <w:t xml:space="preserve">  资格审查条件（业绩最低要求）</w:t>
      </w:r>
    </w:p>
    <w:tbl>
      <w:tblPr>
        <w:tblStyle w:val="4"/>
        <w:tblW w:w="5128" w:type="pct"/>
        <w:tblInd w:w="-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220"/>
      </w:tblGrid>
      <w:tr w14:paraId="33FA2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8" w:hRule="atLeast"/>
        </w:trPr>
        <w:tc>
          <w:tcPr>
            <w:tcW w:w="5000" w:type="pct"/>
            <w:noWrap w:val="0"/>
            <w:vAlign w:val="center"/>
          </w:tcPr>
          <w:p w14:paraId="34F5D396">
            <w:pPr>
              <w:wordWrap w:val="0"/>
              <w:adjustRightInd w:val="0"/>
              <w:snapToGrid w:val="0"/>
              <w:jc w:val="center"/>
              <w:rPr>
                <w:rFonts w:ascii="Times New Roman" w:hAnsi="Times New Roman" w:eastAsia="宋体" w:cs="Times New Roman"/>
                <w:b/>
                <w:color w:val="000000"/>
                <w:szCs w:val="21"/>
                <w:highlight w:val="none"/>
                <w:shd w:val="clear" w:color="auto" w:fill="FFFFFF"/>
              </w:rPr>
            </w:pPr>
            <w:r>
              <w:rPr>
                <w:rFonts w:ascii="Times New Roman" w:hAnsi="Times New Roman" w:eastAsia="宋体" w:cs="Times New Roman"/>
                <w:b/>
                <w:color w:val="000000"/>
                <w:szCs w:val="21"/>
                <w:highlight w:val="none"/>
                <w:shd w:val="clear" w:color="auto" w:fill="FFFFFF"/>
              </w:rPr>
              <w:t>业绩要求</w:t>
            </w:r>
          </w:p>
        </w:tc>
      </w:tr>
      <w:tr w14:paraId="44635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25" w:hRule="atLeast"/>
        </w:trPr>
        <w:tc>
          <w:tcPr>
            <w:tcW w:w="5000" w:type="pct"/>
            <w:noWrap w:val="0"/>
            <w:vAlign w:val="center"/>
          </w:tcPr>
          <w:p w14:paraId="3321081E">
            <w:pPr>
              <w:widowControl w:val="0"/>
              <w:spacing w:before="141"/>
              <w:ind w:right="1" w:rightChars="0"/>
              <w:jc w:val="both"/>
              <w:rPr>
                <w:rFonts w:hint="default" w:ascii="Times New Roman" w:hAnsi="Times New Roman" w:eastAsia="宋体" w:cs="Times New Roman"/>
                <w:color w:val="000000"/>
                <w:kern w:val="2"/>
                <w:sz w:val="21"/>
                <w:szCs w:val="22"/>
                <w:highlight w:val="none"/>
                <w:lang w:val="en-US" w:eastAsia="zh-CN" w:bidi="ar-SA"/>
              </w:rPr>
            </w:pPr>
            <w:r>
              <w:rPr>
                <w:rFonts w:hint="eastAsia" w:ascii="Times New Roman" w:hAnsi="Times New Roman" w:eastAsia="宋体" w:cs="Times New Roman"/>
                <w:color w:val="000000"/>
                <w:kern w:val="2"/>
                <w:sz w:val="21"/>
                <w:szCs w:val="22"/>
                <w:highlight w:val="none"/>
                <w:lang w:val="en-US" w:eastAsia="zh-CN" w:bidi="ar-SA"/>
              </w:rPr>
              <w:t>投标人近3年内(2023年5月1日至投标截止时间，以合同签订时间为准)，累计不少于9台所投品牌的皮卡车供货业绩。</w:t>
            </w:r>
          </w:p>
        </w:tc>
      </w:tr>
    </w:tbl>
    <w:p w14:paraId="69E0A6D4">
      <w:pPr>
        <w:wordWrap w:val="0"/>
        <w:jc w:val="center"/>
        <w:rPr>
          <w:rFonts w:ascii="Times New Roman" w:hAnsi="Times New Roman" w:eastAsia="宋体" w:cs="Times New Roman"/>
          <w:b/>
          <w:color w:val="000000"/>
          <w:sz w:val="24"/>
          <w:szCs w:val="22"/>
          <w:highlight w:val="none"/>
        </w:rPr>
      </w:pPr>
    </w:p>
    <w:p w14:paraId="39BDCCBC">
      <w:pPr>
        <w:wordWrap w:val="0"/>
        <w:jc w:val="center"/>
        <w:rPr>
          <w:rFonts w:ascii="Times New Roman" w:hAnsi="Times New Roman" w:eastAsia="宋体" w:cs="Times New Roman"/>
          <w:b/>
          <w:color w:val="000000"/>
          <w:sz w:val="24"/>
          <w:szCs w:val="22"/>
          <w:highlight w:val="none"/>
        </w:rPr>
      </w:pPr>
    </w:p>
    <w:p w14:paraId="4EE3B51D">
      <w:pPr>
        <w:wordWrap w:val="0"/>
        <w:jc w:val="center"/>
        <w:rPr>
          <w:rFonts w:ascii="Times New Roman" w:hAnsi="Times New Roman" w:eastAsia="宋体" w:cs="Times New Roman"/>
          <w:b/>
          <w:color w:val="000000"/>
          <w:sz w:val="24"/>
          <w:szCs w:val="22"/>
          <w:highlight w:val="none"/>
        </w:rPr>
      </w:pPr>
    </w:p>
    <w:p w14:paraId="6A8AAAB2">
      <w:pPr>
        <w:wordWrap w:val="0"/>
        <w:jc w:val="center"/>
        <w:rPr>
          <w:rFonts w:ascii="Times New Roman" w:hAnsi="Times New Roman" w:eastAsia="宋体" w:cs="Times New Roman"/>
          <w:color w:val="000000"/>
          <w:szCs w:val="22"/>
          <w:highlight w:val="none"/>
        </w:rPr>
      </w:pPr>
      <w:r>
        <w:rPr>
          <w:rFonts w:ascii="Times New Roman" w:hAnsi="Times New Roman" w:eastAsia="宋体" w:cs="Times New Roman"/>
          <w:b/>
          <w:color w:val="000000"/>
          <w:sz w:val="24"/>
          <w:szCs w:val="22"/>
          <w:highlight w:val="none"/>
        </w:rPr>
        <w:t>附录3  资格审查条件（信誉最低要求）</w:t>
      </w:r>
    </w:p>
    <w:tbl>
      <w:tblPr>
        <w:tblStyle w:val="4"/>
        <w:tblW w:w="501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9214"/>
      </w:tblGrid>
      <w:tr w14:paraId="4B2FA5E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24" w:hRule="atLeast"/>
          <w:jc w:val="center"/>
        </w:trPr>
        <w:tc>
          <w:tcPr>
            <w:tcW w:w="5000" w:type="pct"/>
            <w:noWrap w:val="0"/>
            <w:vAlign w:val="center"/>
          </w:tcPr>
          <w:p w14:paraId="0D514E4B">
            <w:pPr>
              <w:wordWrap w:val="0"/>
              <w:adjustRightInd w:val="0"/>
              <w:snapToGrid w:val="0"/>
              <w:jc w:val="center"/>
              <w:rPr>
                <w:rFonts w:ascii="Times New Roman" w:hAnsi="Times New Roman" w:eastAsia="宋体" w:cs="Times New Roman"/>
                <w:b/>
                <w:color w:val="000000"/>
                <w:szCs w:val="21"/>
                <w:highlight w:val="none"/>
              </w:rPr>
            </w:pPr>
            <w:r>
              <w:rPr>
                <w:rFonts w:ascii="Times New Roman" w:hAnsi="Times New Roman" w:eastAsia="宋体" w:cs="Times New Roman"/>
                <w:b/>
                <w:color w:val="000000"/>
                <w:szCs w:val="21"/>
                <w:highlight w:val="none"/>
              </w:rPr>
              <w:t>信誉要求</w:t>
            </w:r>
          </w:p>
        </w:tc>
      </w:tr>
      <w:tr w14:paraId="07AA675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959" w:hRule="atLeast"/>
          <w:jc w:val="center"/>
        </w:trPr>
        <w:tc>
          <w:tcPr>
            <w:tcW w:w="5000" w:type="pct"/>
            <w:noWrap w:val="0"/>
            <w:vAlign w:val="center"/>
          </w:tcPr>
          <w:p w14:paraId="327590D3">
            <w:pPr>
              <w:wordWrap w:val="0"/>
              <w:rPr>
                <w:rFonts w:ascii="Times New Roman" w:hAnsi="Times New Roman" w:eastAsia="宋体" w:cs="Times New Roman"/>
                <w:color w:val="000000"/>
                <w:szCs w:val="22"/>
                <w:highlight w:val="none"/>
              </w:rPr>
            </w:pPr>
            <w:r>
              <w:rPr>
                <w:rFonts w:ascii="Times New Roman" w:hAnsi="Times New Roman" w:eastAsia="宋体" w:cs="Times New Roman"/>
                <w:color w:val="000000"/>
                <w:szCs w:val="22"/>
                <w:highlight w:val="none"/>
              </w:rPr>
              <w:t>投标人在近一年（</w:t>
            </w:r>
            <w:r>
              <w:rPr>
                <w:rFonts w:hint="eastAsia" w:ascii="Times New Roman" w:hAnsi="Times New Roman" w:eastAsia="宋体" w:cs="Times New Roman"/>
                <w:color w:val="000000"/>
                <w:szCs w:val="22"/>
                <w:highlight w:val="none"/>
                <w:lang w:eastAsia="zh-CN"/>
              </w:rPr>
              <w:t>202</w:t>
            </w:r>
            <w:r>
              <w:rPr>
                <w:rFonts w:hint="eastAsia" w:ascii="Times New Roman" w:hAnsi="Times New Roman" w:eastAsia="宋体" w:cs="Times New Roman"/>
                <w:color w:val="000000"/>
                <w:szCs w:val="22"/>
                <w:highlight w:val="none"/>
                <w:lang w:val="en-US" w:eastAsia="zh-CN"/>
              </w:rPr>
              <w:t>5</w:t>
            </w:r>
            <w:r>
              <w:rPr>
                <w:rFonts w:hint="eastAsia" w:ascii="Times New Roman" w:hAnsi="Times New Roman" w:eastAsia="宋体" w:cs="Times New Roman"/>
                <w:color w:val="000000"/>
                <w:szCs w:val="22"/>
                <w:highlight w:val="none"/>
                <w:lang w:eastAsia="zh-CN"/>
              </w:rPr>
              <w:t>年</w:t>
            </w:r>
            <w:r>
              <w:rPr>
                <w:rFonts w:hint="eastAsia" w:ascii="Times New Roman" w:hAnsi="Times New Roman" w:eastAsia="宋体" w:cs="Times New Roman"/>
                <w:color w:val="000000"/>
                <w:szCs w:val="22"/>
                <w:highlight w:val="none"/>
                <w:lang w:val="en-US" w:eastAsia="zh-CN"/>
              </w:rPr>
              <w:t>5月</w:t>
            </w:r>
            <w:r>
              <w:rPr>
                <w:rFonts w:hint="eastAsia" w:ascii="Times New Roman" w:hAnsi="Times New Roman" w:eastAsia="宋体" w:cs="Times New Roman"/>
                <w:color w:val="000000"/>
                <w:szCs w:val="22"/>
                <w:highlight w:val="none"/>
                <w:lang w:eastAsia="zh-CN"/>
              </w:rPr>
              <w:t>1日</w:t>
            </w:r>
            <w:r>
              <w:rPr>
                <w:rFonts w:ascii="Times New Roman" w:hAnsi="Times New Roman" w:eastAsia="宋体" w:cs="Times New Roman"/>
                <w:color w:val="000000"/>
                <w:szCs w:val="22"/>
                <w:highlight w:val="none"/>
              </w:rPr>
              <w:t>至投标截止时间）不曾在</w:t>
            </w:r>
            <w:r>
              <w:rPr>
                <w:rFonts w:hint="eastAsia" w:ascii="Times New Roman" w:hAnsi="Times New Roman" w:eastAsia="宋体" w:cs="Times New Roman"/>
                <w:color w:val="000000"/>
                <w:szCs w:val="22"/>
                <w:highlight w:val="none"/>
                <w:lang w:val="en-US" w:eastAsia="zh-CN"/>
              </w:rPr>
              <w:t>车辆</w:t>
            </w:r>
            <w:r>
              <w:rPr>
                <w:rFonts w:ascii="Times New Roman" w:hAnsi="Times New Roman" w:eastAsia="宋体" w:cs="Times New Roman"/>
                <w:color w:val="000000"/>
                <w:szCs w:val="22"/>
                <w:highlight w:val="none"/>
              </w:rPr>
              <w:t>供货</w:t>
            </w:r>
            <w:r>
              <w:rPr>
                <w:rFonts w:hint="eastAsia" w:ascii="Times New Roman" w:hAnsi="Times New Roman" w:eastAsia="宋体" w:cs="Times New Roman"/>
                <w:color w:val="000000"/>
                <w:szCs w:val="22"/>
                <w:highlight w:val="none"/>
                <w:lang w:eastAsia="zh-CN"/>
              </w:rPr>
              <w:t>合同</w:t>
            </w:r>
            <w:r>
              <w:rPr>
                <w:rFonts w:ascii="Times New Roman" w:hAnsi="Times New Roman" w:eastAsia="宋体" w:cs="Times New Roman"/>
                <w:color w:val="000000"/>
                <w:szCs w:val="22"/>
                <w:highlight w:val="none"/>
              </w:rPr>
              <w:t>中违约</w:t>
            </w:r>
            <w:r>
              <w:rPr>
                <w:rFonts w:hint="eastAsia" w:ascii="Times New Roman" w:hAnsi="Times New Roman" w:eastAsia="宋体" w:cs="Times New Roman"/>
                <w:color w:val="000000"/>
                <w:szCs w:val="22"/>
                <w:highlight w:val="none"/>
                <w:lang w:val="en-US" w:eastAsia="zh-CN"/>
              </w:rPr>
              <w:t>而</w:t>
            </w:r>
            <w:r>
              <w:rPr>
                <w:rFonts w:ascii="Times New Roman" w:hAnsi="Times New Roman" w:eastAsia="宋体" w:cs="Times New Roman"/>
                <w:color w:val="000000"/>
                <w:szCs w:val="22"/>
                <w:highlight w:val="none"/>
              </w:rPr>
              <w:t>被</w:t>
            </w:r>
            <w:r>
              <w:rPr>
                <w:rFonts w:hint="eastAsia" w:ascii="Times New Roman" w:hAnsi="Times New Roman" w:eastAsia="宋体" w:cs="Times New Roman"/>
                <w:color w:val="000000"/>
                <w:szCs w:val="22"/>
                <w:highlight w:val="none"/>
                <w:lang w:val="en-US" w:eastAsia="zh-CN"/>
              </w:rPr>
              <w:t>驱逐</w:t>
            </w:r>
            <w:r>
              <w:rPr>
                <w:rFonts w:ascii="Times New Roman" w:hAnsi="Times New Roman" w:eastAsia="宋体" w:cs="Times New Roman"/>
                <w:color w:val="000000"/>
                <w:szCs w:val="22"/>
                <w:highlight w:val="none"/>
              </w:rPr>
              <w:t>或因投标人自身的原因而使</w:t>
            </w:r>
            <w:r>
              <w:rPr>
                <w:rFonts w:hint="eastAsia" w:ascii="Times New Roman" w:hAnsi="Times New Roman" w:eastAsia="宋体" w:cs="Times New Roman"/>
                <w:color w:val="000000"/>
                <w:szCs w:val="22"/>
                <w:highlight w:val="none"/>
                <w:lang w:val="en-US" w:eastAsia="zh-CN"/>
              </w:rPr>
              <w:t>车辆</w:t>
            </w:r>
            <w:r>
              <w:rPr>
                <w:rFonts w:ascii="Times New Roman" w:hAnsi="Times New Roman" w:eastAsia="宋体" w:cs="Times New Roman"/>
                <w:color w:val="000000"/>
                <w:szCs w:val="22"/>
                <w:highlight w:val="none"/>
              </w:rPr>
              <w:t>供货合同被解除。</w:t>
            </w:r>
          </w:p>
        </w:tc>
      </w:tr>
    </w:tbl>
    <w:p w14:paraId="5D142B24">
      <w:pPr>
        <w:wordWrap w:val="0"/>
        <w:jc w:val="both"/>
        <w:rPr>
          <w:rFonts w:ascii="Times New Roman" w:hAnsi="Times New Roman" w:eastAsia="宋体" w:cs="Times New Roman"/>
          <w:b/>
          <w:color w:val="000000"/>
          <w:sz w:val="24"/>
          <w:szCs w:val="22"/>
          <w:highlight w:val="none"/>
        </w:rPr>
      </w:pPr>
    </w:p>
    <w:p w14:paraId="5AECC28F">
      <w:pPr>
        <w:wordWrap w:val="0"/>
        <w:jc w:val="both"/>
        <w:rPr>
          <w:rFonts w:ascii="Times New Roman" w:hAnsi="Times New Roman" w:eastAsia="宋体" w:cs="Times New Roman"/>
          <w:b/>
          <w:color w:val="000000"/>
          <w:sz w:val="24"/>
          <w:szCs w:val="22"/>
          <w:highlight w:val="none"/>
        </w:rPr>
      </w:pPr>
    </w:p>
    <w:p w14:paraId="4FD10856">
      <w:pPr>
        <w:wordWrap w:val="0"/>
        <w:jc w:val="both"/>
        <w:rPr>
          <w:rFonts w:ascii="Times New Roman" w:hAnsi="Times New Roman" w:eastAsia="宋体" w:cs="Times New Roman"/>
          <w:b/>
          <w:color w:val="000000"/>
          <w:sz w:val="24"/>
          <w:szCs w:val="22"/>
          <w:highlight w:val="none"/>
        </w:rPr>
      </w:pPr>
    </w:p>
    <w:p w14:paraId="4B6F47FF">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宋体" w:hAnsi="宋体" w:eastAsia="宋体" w:cs="Times New Roman"/>
          <w:color w:val="000000"/>
          <w:szCs w:val="21"/>
          <w:highlight w:val="none"/>
          <w:lang w:val="en-US" w:eastAsia="zh-CN"/>
        </w:rPr>
      </w:pPr>
    </w:p>
    <w:p w14:paraId="205E88EA">
      <w:pPr>
        <w:wordWrap w:val="0"/>
        <w:autoSpaceDE w:val="0"/>
        <w:autoSpaceDN w:val="0"/>
        <w:adjustRightInd w:val="0"/>
        <w:ind w:right="-20"/>
        <w:jc w:val="left"/>
        <w:outlineLvl w:val="3"/>
        <w:rPr>
          <w:rFonts w:ascii="Times New Roman" w:hAnsi="Times New Roman" w:eastAsia="宋体" w:cs="Times New Roman"/>
          <w:b/>
          <w:color w:val="000000"/>
          <w:sz w:val="28"/>
          <w:szCs w:val="28"/>
          <w:highlight w:val="none"/>
        </w:rPr>
      </w:pPr>
      <w:r>
        <w:rPr>
          <w:rFonts w:ascii="Times New Roman" w:hAnsi="Times New Roman" w:eastAsia="宋体" w:cs="Times New Roman"/>
          <w:b/>
          <w:color w:val="000000"/>
          <w:sz w:val="28"/>
          <w:szCs w:val="28"/>
          <w:highlight w:val="none"/>
        </w:rPr>
        <w:br w:type="page"/>
      </w:r>
      <w:r>
        <w:rPr>
          <w:rFonts w:ascii="Times New Roman" w:hAnsi="Times New Roman" w:eastAsia="宋体" w:cs="Times New Roman"/>
          <w:b/>
          <w:color w:val="000000"/>
          <w:sz w:val="24"/>
          <w:szCs w:val="24"/>
          <w:highlight w:val="none"/>
        </w:rPr>
        <w:t>附件2：评标办法</w:t>
      </w:r>
    </w:p>
    <w:p w14:paraId="71D81476">
      <w:pPr>
        <w:spacing w:before="267" w:line="219" w:lineRule="auto"/>
        <w:rPr>
          <w:rFonts w:ascii="宋体" w:hAnsi="宋体" w:eastAsia="宋体" w:cs="宋体"/>
          <w:sz w:val="24"/>
          <w:szCs w:val="24"/>
          <w:highlight w:val="none"/>
        </w:rPr>
      </w:pPr>
      <w:r>
        <w:rPr>
          <w:rFonts w:ascii="宋体" w:hAnsi="宋体" w:eastAsia="宋体" w:cs="宋体"/>
          <w:b/>
          <w:bCs/>
          <w:spacing w:val="-2"/>
          <w:sz w:val="24"/>
          <w:szCs w:val="24"/>
          <w:highlight w:val="none"/>
        </w:rPr>
        <w:t>评标办法前附表</w:t>
      </w:r>
    </w:p>
    <w:p w14:paraId="118C49C9">
      <w:pPr>
        <w:spacing w:line="119" w:lineRule="exact"/>
        <w:rPr>
          <w:rFonts w:ascii="Times New Roman" w:hAnsi="Times New Roman" w:eastAsia="宋体" w:cs="Times New Roman"/>
          <w:szCs w:val="22"/>
          <w:highlight w:val="none"/>
        </w:rPr>
      </w:pPr>
    </w:p>
    <w:tbl>
      <w:tblPr>
        <w:tblStyle w:val="6"/>
        <w:tblW w:w="993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3"/>
        <w:gridCol w:w="1279"/>
        <w:gridCol w:w="1551"/>
        <w:gridCol w:w="6300"/>
      </w:tblGrid>
      <w:tr w14:paraId="0EE361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5" w:hRule="atLeast"/>
          <w:jc w:val="center"/>
        </w:trPr>
        <w:tc>
          <w:tcPr>
            <w:tcW w:w="2082" w:type="dxa"/>
            <w:gridSpan w:val="2"/>
            <w:vAlign w:val="top"/>
          </w:tcPr>
          <w:p w14:paraId="3F97D1B9">
            <w:pPr>
              <w:keepNext w:val="0"/>
              <w:keepLines w:val="0"/>
              <w:pageBreakBefore w:val="0"/>
              <w:widowControl w:val="0"/>
              <w:kinsoku w:val="0"/>
              <w:wordWrap/>
              <w:overflowPunct/>
              <w:topLinePunct w:val="0"/>
              <w:autoSpaceDE w:val="0"/>
              <w:autoSpaceDN w:val="0"/>
              <w:bidi w:val="0"/>
              <w:adjustRightInd w:val="0"/>
              <w:snapToGrid w:val="0"/>
              <w:spacing w:line="320" w:lineRule="exact"/>
              <w:ind w:left="689"/>
              <w:jc w:val="both"/>
              <w:textAlignment w:val="baseline"/>
              <w:rPr>
                <w:rFonts w:hint="eastAsia" w:ascii="宋体" w:hAnsi="宋体" w:eastAsia="宋体" w:cs="宋体"/>
                <w:kern w:val="2"/>
                <w:sz w:val="21"/>
                <w:szCs w:val="21"/>
                <w:highlight w:val="none"/>
                <w:lang w:val="en-US" w:eastAsia="en-US" w:bidi="ar-SA"/>
              </w:rPr>
            </w:pPr>
            <w:r>
              <w:rPr>
                <w:rFonts w:hint="eastAsia" w:ascii="宋体" w:hAnsi="宋体" w:eastAsia="宋体" w:cs="宋体"/>
                <w:b/>
                <w:bCs/>
                <w:spacing w:val="-5"/>
                <w:kern w:val="2"/>
                <w:sz w:val="21"/>
                <w:szCs w:val="21"/>
                <w:highlight w:val="none"/>
                <w:lang w:val="en-US" w:eastAsia="en-US" w:bidi="ar-SA"/>
              </w:rPr>
              <w:t>条款号</w:t>
            </w:r>
          </w:p>
        </w:tc>
        <w:tc>
          <w:tcPr>
            <w:tcW w:w="1551" w:type="dxa"/>
            <w:vAlign w:val="top"/>
          </w:tcPr>
          <w:p w14:paraId="753D42C9">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kern w:val="2"/>
                <w:sz w:val="21"/>
                <w:szCs w:val="21"/>
                <w:highlight w:val="none"/>
                <w:lang w:val="en-US" w:eastAsia="en-US" w:bidi="ar-SA"/>
              </w:rPr>
            </w:pPr>
            <w:r>
              <w:rPr>
                <w:rFonts w:hint="eastAsia" w:ascii="宋体" w:hAnsi="宋体" w:eastAsia="宋体" w:cs="宋体"/>
                <w:b/>
                <w:bCs/>
                <w:spacing w:val="-4"/>
                <w:kern w:val="2"/>
                <w:sz w:val="21"/>
                <w:szCs w:val="21"/>
                <w:highlight w:val="none"/>
                <w:lang w:val="en-US" w:eastAsia="en-US" w:bidi="ar-SA"/>
              </w:rPr>
              <w:t>评审因素</w:t>
            </w:r>
          </w:p>
        </w:tc>
        <w:tc>
          <w:tcPr>
            <w:tcW w:w="6300" w:type="dxa"/>
            <w:vAlign w:val="top"/>
          </w:tcPr>
          <w:p w14:paraId="596AC1A4">
            <w:pPr>
              <w:keepNext w:val="0"/>
              <w:keepLines w:val="0"/>
              <w:pageBreakBefore w:val="0"/>
              <w:widowControl w:val="0"/>
              <w:kinsoku w:val="0"/>
              <w:wordWrap/>
              <w:overflowPunct/>
              <w:topLinePunct w:val="0"/>
              <w:autoSpaceDE w:val="0"/>
              <w:autoSpaceDN w:val="0"/>
              <w:bidi w:val="0"/>
              <w:adjustRightInd w:val="0"/>
              <w:snapToGrid w:val="0"/>
              <w:spacing w:line="320" w:lineRule="exact"/>
              <w:ind w:left="1903"/>
              <w:jc w:val="both"/>
              <w:textAlignment w:val="baseline"/>
              <w:rPr>
                <w:rFonts w:hint="eastAsia" w:ascii="宋体" w:hAnsi="宋体" w:eastAsia="宋体" w:cs="宋体"/>
                <w:kern w:val="2"/>
                <w:sz w:val="21"/>
                <w:szCs w:val="21"/>
                <w:highlight w:val="none"/>
                <w:lang w:val="en-US" w:eastAsia="en-US" w:bidi="ar-SA"/>
              </w:rPr>
            </w:pPr>
            <w:r>
              <w:rPr>
                <w:rFonts w:hint="eastAsia" w:ascii="宋体" w:hAnsi="宋体" w:eastAsia="宋体" w:cs="宋体"/>
                <w:b/>
                <w:bCs/>
                <w:spacing w:val="-4"/>
                <w:kern w:val="2"/>
                <w:sz w:val="21"/>
                <w:szCs w:val="21"/>
                <w:highlight w:val="none"/>
                <w:lang w:val="en-US" w:eastAsia="en-US" w:bidi="ar-SA"/>
              </w:rPr>
              <w:t>评审标准</w:t>
            </w:r>
          </w:p>
        </w:tc>
      </w:tr>
      <w:tr w14:paraId="710C65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803" w:type="dxa"/>
            <w:vAlign w:val="center"/>
          </w:tcPr>
          <w:p w14:paraId="4BB77658">
            <w:pPr>
              <w:keepNext w:val="0"/>
              <w:keepLines w:val="0"/>
              <w:pageBreakBefore w:val="0"/>
              <w:widowControl w:val="0"/>
              <w:kinsoku w:val="0"/>
              <w:wordWrap/>
              <w:overflowPunct/>
              <w:topLinePunct w:val="0"/>
              <w:autoSpaceDE w:val="0"/>
              <w:autoSpaceDN w:val="0"/>
              <w:bidi w:val="0"/>
              <w:adjustRightInd w:val="0"/>
              <w:snapToGrid w:val="0"/>
              <w:spacing w:line="320" w:lineRule="exact"/>
              <w:ind w:left="418"/>
              <w:jc w:val="both"/>
              <w:textAlignment w:val="baseline"/>
              <w:rPr>
                <w:rFonts w:hint="eastAsia" w:ascii="宋体" w:hAnsi="宋体" w:eastAsia="宋体" w:cs="宋体"/>
                <w:kern w:val="2"/>
                <w:sz w:val="21"/>
                <w:szCs w:val="21"/>
                <w:highlight w:val="none"/>
                <w:lang w:val="en-US" w:eastAsia="en-US" w:bidi="ar-SA"/>
              </w:rPr>
            </w:pPr>
            <w:r>
              <w:rPr>
                <w:rFonts w:hint="eastAsia" w:ascii="宋体" w:hAnsi="宋体" w:eastAsia="宋体" w:cs="宋体"/>
                <w:kern w:val="2"/>
                <w:sz w:val="21"/>
                <w:szCs w:val="21"/>
                <w:highlight w:val="none"/>
                <w:lang w:val="en-US" w:eastAsia="en-US" w:bidi="ar-SA"/>
              </w:rPr>
              <w:t>1</w:t>
            </w:r>
          </w:p>
        </w:tc>
        <w:tc>
          <w:tcPr>
            <w:tcW w:w="1279" w:type="dxa"/>
            <w:vAlign w:val="center"/>
          </w:tcPr>
          <w:p w14:paraId="298F9B0B">
            <w:pPr>
              <w:keepNext w:val="0"/>
              <w:keepLines w:val="0"/>
              <w:pageBreakBefore w:val="0"/>
              <w:widowControl w:val="0"/>
              <w:kinsoku w:val="0"/>
              <w:wordWrap/>
              <w:overflowPunct/>
              <w:topLinePunct w:val="0"/>
              <w:autoSpaceDE w:val="0"/>
              <w:autoSpaceDN w:val="0"/>
              <w:bidi w:val="0"/>
              <w:adjustRightInd w:val="0"/>
              <w:snapToGrid w:val="0"/>
              <w:spacing w:line="320" w:lineRule="exact"/>
              <w:ind w:left="123"/>
              <w:jc w:val="both"/>
              <w:textAlignment w:val="baseline"/>
              <w:rPr>
                <w:rFonts w:hint="eastAsia" w:ascii="宋体" w:hAnsi="宋体" w:eastAsia="宋体" w:cs="宋体"/>
                <w:kern w:val="2"/>
                <w:sz w:val="21"/>
                <w:szCs w:val="21"/>
                <w:highlight w:val="none"/>
                <w:lang w:val="en-US" w:eastAsia="en-US" w:bidi="ar-SA"/>
              </w:rPr>
            </w:pPr>
            <w:r>
              <w:rPr>
                <w:rFonts w:hint="eastAsia" w:ascii="宋体" w:hAnsi="宋体" w:eastAsia="宋体" w:cs="宋体"/>
                <w:spacing w:val="-1"/>
                <w:kern w:val="2"/>
                <w:sz w:val="21"/>
                <w:szCs w:val="21"/>
                <w:highlight w:val="none"/>
                <w:lang w:val="en-US" w:eastAsia="en-US" w:bidi="ar-SA"/>
              </w:rPr>
              <w:t>评标方法</w:t>
            </w:r>
          </w:p>
        </w:tc>
        <w:tc>
          <w:tcPr>
            <w:tcW w:w="1551" w:type="dxa"/>
            <w:vAlign w:val="center"/>
          </w:tcPr>
          <w:p w14:paraId="158B303D">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kern w:val="2"/>
                <w:sz w:val="21"/>
                <w:szCs w:val="21"/>
                <w:highlight w:val="none"/>
                <w:lang w:val="en-US" w:eastAsia="en-US" w:bidi="ar-SA"/>
              </w:rPr>
            </w:pPr>
            <w:r>
              <w:rPr>
                <w:rFonts w:hint="eastAsia" w:ascii="宋体" w:hAnsi="宋体" w:eastAsia="宋体" w:cs="宋体"/>
                <w:spacing w:val="-3"/>
                <w:kern w:val="2"/>
                <w:sz w:val="21"/>
                <w:szCs w:val="21"/>
                <w:highlight w:val="none"/>
                <w:lang w:val="en-US" w:eastAsia="en-US" w:bidi="ar-SA"/>
              </w:rPr>
              <w:t>中标候选人排序方法</w:t>
            </w:r>
          </w:p>
        </w:tc>
        <w:tc>
          <w:tcPr>
            <w:tcW w:w="6300" w:type="dxa"/>
            <w:vAlign w:val="top"/>
          </w:tcPr>
          <w:p w14:paraId="5F49CCBF">
            <w:pPr>
              <w:keepNext w:val="0"/>
              <w:keepLines w:val="0"/>
              <w:pageBreakBefore w:val="0"/>
              <w:widowControl w:val="0"/>
              <w:kinsoku/>
              <w:wordWrap/>
              <w:overflowPunct/>
              <w:topLinePunct w:val="0"/>
              <w:bidi w:val="0"/>
              <w:adjustRightInd/>
              <w:snapToGrid w:val="0"/>
              <w:spacing w:line="320" w:lineRule="exact"/>
              <w:ind w:left="21" w:leftChars="10"/>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spacing w:val="-1"/>
                <w:kern w:val="2"/>
                <w:sz w:val="21"/>
                <w:szCs w:val="21"/>
                <w:highlight w:val="none"/>
              </w:rPr>
              <w:t>本</w:t>
            </w:r>
            <w:r>
              <w:rPr>
                <w:rFonts w:hint="eastAsia" w:ascii="宋体" w:hAnsi="宋体" w:eastAsia="宋体" w:cs="宋体"/>
                <w:color w:val="auto"/>
                <w:spacing w:val="-1"/>
                <w:kern w:val="2"/>
                <w:sz w:val="21"/>
                <w:szCs w:val="21"/>
                <w:highlight w:val="none"/>
                <w:lang w:val="en-US" w:eastAsia="zh-CN"/>
              </w:rPr>
              <w:t>款</w:t>
            </w:r>
            <w:r>
              <w:rPr>
                <w:rFonts w:hint="eastAsia" w:ascii="宋体" w:hAnsi="宋体" w:eastAsia="宋体" w:cs="宋体"/>
                <w:color w:val="auto"/>
                <w:spacing w:val="-1"/>
                <w:kern w:val="2"/>
                <w:sz w:val="21"/>
                <w:szCs w:val="21"/>
                <w:highlight w:val="none"/>
              </w:rPr>
              <w:t>修改为：</w:t>
            </w:r>
          </w:p>
          <w:p w14:paraId="2ADE3615">
            <w:pPr>
              <w:keepNext w:val="0"/>
              <w:keepLines w:val="0"/>
              <w:pageBreakBefore w:val="0"/>
              <w:widowControl w:val="0"/>
              <w:kinsoku w:val="0"/>
              <w:wordWrap/>
              <w:overflowPunct/>
              <w:topLinePunct w:val="0"/>
              <w:autoSpaceDE w:val="0"/>
              <w:autoSpaceDN w:val="0"/>
              <w:bidi w:val="0"/>
              <w:adjustRightInd w:val="0"/>
              <w:snapToGrid w:val="0"/>
              <w:spacing w:line="320" w:lineRule="exact"/>
              <w:ind w:left="113" w:right="108" w:firstLine="420" w:firstLineChars="200"/>
              <w:jc w:val="both"/>
              <w:textAlignment w:val="baseline"/>
              <w:rPr>
                <w:rFonts w:hint="eastAsia" w:ascii="宋体" w:hAnsi="宋体" w:eastAsia="宋体" w:cs="宋体"/>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本次评标采用综合评估法。评标委员会对满足招标文件实质性要求的投标文件，按照本评标办法第2.2款规定的评分标准进行打分，并按得分由高到低顺序推荐1-3名中标候选人。综合评分相等时，评标委员会依次按照以下优先顺序推荐中标候选人：</w:t>
            </w:r>
          </w:p>
          <w:p w14:paraId="4B2A6D35">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w:t>
            </w:r>
            <w:r>
              <w:rPr>
                <w:rFonts w:hint="eastAsia" w:ascii="宋体" w:hAnsi="宋体" w:eastAsia="宋体" w:cs="宋体"/>
                <w:color w:val="000000"/>
                <w:sz w:val="21"/>
                <w:szCs w:val="21"/>
                <w:highlight w:val="none"/>
              </w:rPr>
              <w:t>1)评标价低的投标人优先；</w:t>
            </w:r>
          </w:p>
          <w:p w14:paraId="22866496">
            <w:pPr>
              <w:keepNext w:val="0"/>
              <w:keepLines w:val="0"/>
              <w:pageBreakBefore w:val="0"/>
              <w:kinsoku/>
              <w:wordWrap/>
              <w:overflowPunct/>
              <w:topLinePunct w:val="0"/>
              <w:bidi w:val="0"/>
              <w:snapToGrid w:val="0"/>
              <w:spacing w:line="320" w:lineRule="exact"/>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(2)技术</w:t>
            </w:r>
            <w:r>
              <w:rPr>
                <w:rFonts w:hint="eastAsia" w:ascii="宋体" w:hAnsi="宋体" w:eastAsia="宋体" w:cs="宋体"/>
                <w:color w:val="000000"/>
                <w:sz w:val="21"/>
                <w:szCs w:val="21"/>
                <w:highlight w:val="none"/>
                <w:lang w:eastAsia="zh-CN"/>
              </w:rPr>
              <w:t>部分</w:t>
            </w:r>
            <w:r>
              <w:rPr>
                <w:rFonts w:hint="eastAsia" w:ascii="宋体" w:hAnsi="宋体" w:eastAsia="宋体" w:cs="宋体"/>
                <w:color w:val="000000"/>
                <w:sz w:val="21"/>
                <w:szCs w:val="21"/>
                <w:highlight w:val="none"/>
              </w:rPr>
              <w:t>得分较高的投标人优先；</w:t>
            </w:r>
          </w:p>
          <w:p w14:paraId="08517A78">
            <w:pPr>
              <w:keepNext w:val="0"/>
              <w:keepLines w:val="0"/>
              <w:pageBreakBefore w:val="0"/>
              <w:widowControl w:val="0"/>
              <w:kinsoku w:val="0"/>
              <w:wordWrap/>
              <w:overflowPunct/>
              <w:topLinePunct w:val="0"/>
              <w:autoSpaceDE w:val="0"/>
              <w:autoSpaceDN w:val="0"/>
              <w:bidi w:val="0"/>
              <w:adjustRightInd w:val="0"/>
              <w:snapToGrid w:val="0"/>
              <w:spacing w:line="320" w:lineRule="exact"/>
              <w:ind w:right="108" w:firstLine="420" w:firstLineChars="200"/>
              <w:jc w:val="both"/>
              <w:textAlignment w:val="baseline"/>
              <w:rPr>
                <w:rFonts w:hint="eastAsia" w:ascii="宋体" w:hAnsi="宋体" w:eastAsia="宋体" w:cs="宋体"/>
                <w:kern w:val="2"/>
                <w:sz w:val="21"/>
                <w:szCs w:val="21"/>
                <w:highlight w:val="none"/>
                <w:lang w:val="en-US" w:eastAsia="en-US" w:bidi="ar-SA"/>
              </w:rPr>
            </w:pPr>
            <w:r>
              <w:rPr>
                <w:rFonts w:hint="eastAsia" w:ascii="宋体" w:hAnsi="宋体" w:eastAsia="宋体" w:cs="宋体"/>
                <w:color w:val="000000"/>
                <w:kern w:val="2"/>
                <w:sz w:val="21"/>
                <w:szCs w:val="21"/>
                <w:highlight w:val="none"/>
                <w:lang w:val="en-US" w:eastAsia="en-US" w:bidi="ar-SA"/>
              </w:rPr>
              <w:t>(3)满足资格审查条件附录2（业绩最低要求）要求的供货业绩累计</w:t>
            </w:r>
            <w:r>
              <w:rPr>
                <w:rFonts w:hint="eastAsia" w:ascii="宋体" w:hAnsi="宋体" w:eastAsia="宋体" w:cs="宋体"/>
                <w:color w:val="000000"/>
                <w:kern w:val="2"/>
                <w:sz w:val="21"/>
                <w:szCs w:val="21"/>
                <w:highlight w:val="none"/>
                <w:lang w:val="en-US" w:eastAsia="zh-CN" w:bidi="ar-SA"/>
              </w:rPr>
              <w:t>车辆数量</w:t>
            </w:r>
            <w:r>
              <w:rPr>
                <w:rFonts w:hint="eastAsia" w:ascii="宋体" w:hAnsi="宋体" w:eastAsia="宋体" w:cs="宋体"/>
                <w:color w:val="000000"/>
                <w:kern w:val="2"/>
                <w:sz w:val="21"/>
                <w:szCs w:val="21"/>
                <w:highlight w:val="none"/>
                <w:lang w:val="en-US" w:eastAsia="en-US" w:bidi="ar-SA"/>
              </w:rPr>
              <w:t>多的</w:t>
            </w:r>
            <w:r>
              <w:rPr>
                <w:rFonts w:hint="eastAsia" w:ascii="宋体" w:hAnsi="宋体" w:eastAsia="宋体" w:cs="宋体"/>
                <w:color w:val="000000"/>
                <w:kern w:val="2"/>
                <w:sz w:val="21"/>
                <w:szCs w:val="21"/>
                <w:highlight w:val="none"/>
                <w:lang w:val="en-US" w:eastAsia="zh-CN" w:bidi="ar-SA"/>
              </w:rPr>
              <w:t>投标人</w:t>
            </w:r>
            <w:r>
              <w:rPr>
                <w:rFonts w:hint="eastAsia" w:ascii="宋体" w:hAnsi="宋体" w:eastAsia="宋体" w:cs="宋体"/>
                <w:color w:val="000000"/>
                <w:kern w:val="2"/>
                <w:sz w:val="21"/>
                <w:szCs w:val="21"/>
                <w:highlight w:val="none"/>
                <w:lang w:val="en-US" w:eastAsia="en-US" w:bidi="ar-SA"/>
              </w:rPr>
              <w:t>优先。</w:t>
            </w:r>
          </w:p>
        </w:tc>
      </w:tr>
      <w:tr w14:paraId="2A882E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jc w:val="center"/>
        </w:trPr>
        <w:tc>
          <w:tcPr>
            <w:tcW w:w="803" w:type="dxa"/>
            <w:vMerge w:val="restart"/>
            <w:tcBorders>
              <w:bottom w:val="nil"/>
            </w:tcBorders>
            <w:vAlign w:val="center"/>
          </w:tcPr>
          <w:p w14:paraId="14C96132">
            <w:pPr>
              <w:keepNext w:val="0"/>
              <w:keepLines w:val="0"/>
              <w:pageBreakBefore w:val="0"/>
              <w:widowControl w:val="0"/>
              <w:kinsoku w:val="0"/>
              <w:wordWrap/>
              <w:overflowPunct/>
              <w:topLinePunct w:val="0"/>
              <w:autoSpaceDE w:val="0"/>
              <w:autoSpaceDN w:val="0"/>
              <w:bidi w:val="0"/>
              <w:adjustRightInd w:val="0"/>
              <w:snapToGrid w:val="0"/>
              <w:spacing w:line="320" w:lineRule="exact"/>
              <w:ind w:left="186"/>
              <w:jc w:val="both"/>
              <w:textAlignment w:val="baseline"/>
              <w:rPr>
                <w:rFonts w:hint="eastAsia" w:ascii="宋体" w:hAnsi="宋体" w:eastAsia="宋体" w:cs="宋体"/>
                <w:kern w:val="2"/>
                <w:sz w:val="21"/>
                <w:szCs w:val="21"/>
                <w:highlight w:val="none"/>
                <w:lang w:val="en-US" w:eastAsia="en-US" w:bidi="ar-SA"/>
              </w:rPr>
            </w:pPr>
            <w:r>
              <w:rPr>
                <w:rFonts w:hint="eastAsia" w:ascii="宋体" w:hAnsi="宋体" w:eastAsia="宋体" w:cs="宋体"/>
                <w:spacing w:val="-2"/>
                <w:kern w:val="2"/>
                <w:sz w:val="21"/>
                <w:szCs w:val="21"/>
                <w:highlight w:val="none"/>
                <w:lang w:val="en-US" w:eastAsia="en-US" w:bidi="ar-SA"/>
              </w:rPr>
              <w:t>2.1.1</w:t>
            </w:r>
          </w:p>
        </w:tc>
        <w:tc>
          <w:tcPr>
            <w:tcW w:w="1279" w:type="dxa"/>
            <w:vMerge w:val="restart"/>
            <w:tcBorders>
              <w:bottom w:val="nil"/>
            </w:tcBorders>
            <w:vAlign w:val="center"/>
          </w:tcPr>
          <w:p w14:paraId="3A56A3FE">
            <w:pPr>
              <w:keepNext w:val="0"/>
              <w:keepLines w:val="0"/>
              <w:pageBreakBefore w:val="0"/>
              <w:widowControl w:val="0"/>
              <w:kinsoku w:val="0"/>
              <w:wordWrap/>
              <w:overflowPunct/>
              <w:topLinePunct w:val="0"/>
              <w:autoSpaceDE w:val="0"/>
              <w:autoSpaceDN w:val="0"/>
              <w:bidi w:val="0"/>
              <w:adjustRightInd w:val="0"/>
              <w:snapToGrid w:val="0"/>
              <w:spacing w:line="320" w:lineRule="exact"/>
              <w:ind w:left="345" w:right="119" w:hanging="219"/>
              <w:jc w:val="both"/>
              <w:textAlignment w:val="baseline"/>
              <w:rPr>
                <w:rFonts w:hint="eastAsia" w:ascii="宋体" w:hAnsi="宋体" w:eastAsia="宋体" w:cs="宋体"/>
                <w:kern w:val="2"/>
                <w:sz w:val="21"/>
                <w:szCs w:val="21"/>
                <w:highlight w:val="none"/>
                <w:lang w:val="en-US" w:eastAsia="en-US" w:bidi="ar-SA"/>
              </w:rPr>
            </w:pPr>
            <w:r>
              <w:rPr>
                <w:rFonts w:hint="eastAsia" w:ascii="宋体" w:hAnsi="宋体" w:eastAsia="宋体" w:cs="宋体"/>
                <w:spacing w:val="-3"/>
                <w:kern w:val="2"/>
                <w:sz w:val="21"/>
                <w:szCs w:val="21"/>
                <w:highlight w:val="none"/>
                <w:lang w:val="en-US" w:eastAsia="en-US" w:bidi="ar-SA"/>
              </w:rPr>
              <w:t>形式评审</w:t>
            </w:r>
            <w:r>
              <w:rPr>
                <w:rFonts w:hint="eastAsia" w:ascii="宋体" w:hAnsi="宋体" w:eastAsia="宋体" w:cs="宋体"/>
                <w:spacing w:val="-2"/>
                <w:kern w:val="2"/>
                <w:sz w:val="21"/>
                <w:szCs w:val="21"/>
                <w:highlight w:val="none"/>
                <w:lang w:val="en-US" w:eastAsia="en-US" w:bidi="ar-SA"/>
              </w:rPr>
              <w:t>标准</w:t>
            </w:r>
          </w:p>
        </w:tc>
        <w:tc>
          <w:tcPr>
            <w:tcW w:w="1551" w:type="dxa"/>
            <w:vAlign w:val="center"/>
          </w:tcPr>
          <w:p w14:paraId="49B61B6D">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kern w:val="2"/>
                <w:sz w:val="21"/>
                <w:szCs w:val="21"/>
                <w:highlight w:val="none"/>
                <w:lang w:val="en-US" w:eastAsia="en-US" w:bidi="ar-SA"/>
              </w:rPr>
            </w:pPr>
            <w:r>
              <w:rPr>
                <w:rFonts w:hint="eastAsia" w:ascii="宋体" w:hAnsi="宋体" w:eastAsia="宋体" w:cs="宋体"/>
                <w:spacing w:val="-2"/>
                <w:kern w:val="2"/>
                <w:sz w:val="21"/>
                <w:szCs w:val="21"/>
                <w:highlight w:val="none"/>
                <w:lang w:val="en-US" w:eastAsia="en-US" w:bidi="ar-SA"/>
              </w:rPr>
              <w:t>投标人名称</w:t>
            </w:r>
          </w:p>
        </w:tc>
        <w:tc>
          <w:tcPr>
            <w:tcW w:w="6300" w:type="dxa"/>
            <w:vAlign w:val="top"/>
          </w:tcPr>
          <w:p w14:paraId="6526602A">
            <w:pPr>
              <w:keepNext w:val="0"/>
              <w:keepLines w:val="0"/>
              <w:pageBreakBefore w:val="0"/>
              <w:widowControl w:val="0"/>
              <w:kinsoku w:val="0"/>
              <w:wordWrap/>
              <w:overflowPunct/>
              <w:topLinePunct w:val="0"/>
              <w:autoSpaceDE w:val="0"/>
              <w:autoSpaceDN w:val="0"/>
              <w:bidi w:val="0"/>
              <w:adjustRightInd w:val="0"/>
              <w:snapToGrid w:val="0"/>
              <w:spacing w:line="320" w:lineRule="exact"/>
              <w:ind w:left="118"/>
              <w:jc w:val="both"/>
              <w:textAlignment w:val="baseline"/>
              <w:rPr>
                <w:rFonts w:hint="eastAsia" w:ascii="宋体" w:hAnsi="宋体" w:eastAsia="宋体" w:cs="宋体"/>
                <w:kern w:val="2"/>
                <w:sz w:val="21"/>
                <w:szCs w:val="21"/>
                <w:highlight w:val="none"/>
                <w:lang w:val="en-US" w:eastAsia="en-US" w:bidi="ar-SA"/>
              </w:rPr>
            </w:pPr>
            <w:r>
              <w:rPr>
                <w:rFonts w:hint="eastAsia" w:ascii="宋体" w:hAnsi="宋体" w:eastAsia="宋体" w:cs="宋体"/>
                <w:spacing w:val="-1"/>
                <w:kern w:val="2"/>
                <w:sz w:val="21"/>
                <w:szCs w:val="21"/>
                <w:highlight w:val="none"/>
                <w:lang w:val="en-US" w:eastAsia="en-US" w:bidi="ar-SA"/>
              </w:rPr>
              <w:t>与营业执照一致</w:t>
            </w:r>
          </w:p>
        </w:tc>
      </w:tr>
      <w:tr w14:paraId="39DC55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17" w:hRule="atLeast"/>
          <w:jc w:val="center"/>
        </w:trPr>
        <w:tc>
          <w:tcPr>
            <w:tcW w:w="803" w:type="dxa"/>
            <w:vMerge w:val="continue"/>
            <w:tcBorders>
              <w:top w:val="nil"/>
              <w:bottom w:val="nil"/>
            </w:tcBorders>
            <w:vAlign w:val="center"/>
          </w:tcPr>
          <w:p w14:paraId="3DBA8673">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sz w:val="21"/>
                <w:szCs w:val="21"/>
                <w:highlight w:val="none"/>
              </w:rPr>
            </w:pPr>
          </w:p>
        </w:tc>
        <w:tc>
          <w:tcPr>
            <w:tcW w:w="1279" w:type="dxa"/>
            <w:vMerge w:val="continue"/>
            <w:tcBorders>
              <w:top w:val="nil"/>
              <w:bottom w:val="nil"/>
            </w:tcBorders>
            <w:vAlign w:val="center"/>
          </w:tcPr>
          <w:p w14:paraId="552FE766">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sz w:val="21"/>
                <w:szCs w:val="21"/>
                <w:highlight w:val="none"/>
              </w:rPr>
            </w:pPr>
          </w:p>
        </w:tc>
        <w:tc>
          <w:tcPr>
            <w:tcW w:w="1551" w:type="dxa"/>
            <w:vAlign w:val="center"/>
          </w:tcPr>
          <w:p w14:paraId="60B51784">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kern w:val="2"/>
                <w:sz w:val="21"/>
                <w:szCs w:val="21"/>
                <w:highlight w:val="none"/>
                <w:lang w:val="en-US" w:eastAsia="en-US" w:bidi="ar-SA"/>
              </w:rPr>
            </w:pPr>
            <w:r>
              <w:rPr>
                <w:rFonts w:hint="eastAsia" w:ascii="宋体" w:hAnsi="宋体" w:eastAsia="宋体" w:cs="宋体"/>
                <w:spacing w:val="-2"/>
                <w:kern w:val="2"/>
                <w:sz w:val="21"/>
                <w:szCs w:val="21"/>
                <w:highlight w:val="none"/>
                <w:lang w:val="en-US" w:eastAsia="en-US" w:bidi="ar-SA"/>
              </w:rPr>
              <w:t>投标函签字盖章</w:t>
            </w:r>
          </w:p>
        </w:tc>
        <w:tc>
          <w:tcPr>
            <w:tcW w:w="6300" w:type="dxa"/>
            <w:vAlign w:val="top"/>
          </w:tcPr>
          <w:p w14:paraId="71CAF72D">
            <w:pPr>
              <w:keepNext w:val="0"/>
              <w:keepLines w:val="0"/>
              <w:pageBreakBefore w:val="0"/>
              <w:widowControl w:val="0"/>
              <w:kinsoku w:val="0"/>
              <w:wordWrap/>
              <w:overflowPunct/>
              <w:topLinePunct w:val="0"/>
              <w:autoSpaceDE w:val="0"/>
              <w:autoSpaceDN w:val="0"/>
              <w:bidi w:val="0"/>
              <w:adjustRightInd w:val="0"/>
              <w:snapToGrid w:val="0"/>
              <w:spacing w:line="320" w:lineRule="exact"/>
              <w:ind w:left="113" w:right="171" w:firstLine="208" w:firstLineChars="100"/>
              <w:jc w:val="both"/>
              <w:textAlignment w:val="baseline"/>
              <w:rPr>
                <w:rFonts w:hint="eastAsia" w:ascii="宋体" w:hAnsi="宋体" w:eastAsia="宋体" w:cs="宋体"/>
                <w:spacing w:val="-1"/>
                <w:kern w:val="2"/>
                <w:sz w:val="21"/>
                <w:szCs w:val="21"/>
                <w:highlight w:val="none"/>
                <w:lang w:val="en-US" w:eastAsia="en-US" w:bidi="ar-SA"/>
              </w:rPr>
            </w:pPr>
            <w:r>
              <w:rPr>
                <w:rFonts w:hint="eastAsia" w:ascii="宋体" w:hAnsi="宋体" w:eastAsia="宋体" w:cs="宋体"/>
                <w:spacing w:val="-1"/>
                <w:kern w:val="2"/>
                <w:sz w:val="21"/>
                <w:szCs w:val="21"/>
                <w:highlight w:val="none"/>
                <w:lang w:val="en-US" w:eastAsia="en-US" w:bidi="ar-SA"/>
              </w:rPr>
              <w:t>“投标文件”中要求盖单位章和（或）法定代表人或其委托代理人签字的地方，投标人均应使用CA 数字证书加盖投标人的单位电子印章和（或）法定代表人或其委托代理人的个人电子印章或电子签名章，无需手签。</w:t>
            </w:r>
          </w:p>
          <w:p w14:paraId="6E954848">
            <w:pPr>
              <w:keepNext w:val="0"/>
              <w:keepLines w:val="0"/>
              <w:pageBreakBefore w:val="0"/>
              <w:widowControl w:val="0"/>
              <w:wordWrap/>
              <w:overflowPunct/>
              <w:topLinePunct w:val="0"/>
              <w:bidi w:val="0"/>
              <w:snapToGrid w:val="0"/>
              <w:spacing w:line="320" w:lineRule="exact"/>
              <w:ind w:firstLine="420" w:firstLineChars="200"/>
              <w:rPr>
                <w:rFonts w:ascii="宋体" w:hAnsi="宋体" w:eastAsia="宋体" w:cs="宋体"/>
                <w:color w:val="000000"/>
                <w:sz w:val="21"/>
                <w:szCs w:val="21"/>
                <w:highlight w:val="none"/>
              </w:rPr>
            </w:pPr>
            <w:r>
              <w:rPr>
                <w:rFonts w:hint="eastAsia" w:ascii="宋体" w:hAnsi="宋体" w:eastAsia="宋体" w:cs="宋体"/>
                <w:color w:val="000000"/>
                <w:sz w:val="21"/>
                <w:szCs w:val="21"/>
                <w:highlight w:val="none"/>
              </w:rPr>
              <w:t>如果投标文件由委托代理人签署，则投标人须提交授权委托书，授权委托书应符合第六章“投标文件格式”的要求，授权委托书只能授权给一名委托代理人。</w:t>
            </w:r>
          </w:p>
          <w:p w14:paraId="7EB5447D">
            <w:pPr>
              <w:keepNext w:val="0"/>
              <w:keepLines w:val="0"/>
              <w:pageBreakBefore w:val="0"/>
              <w:widowControl w:val="0"/>
              <w:kinsoku w:val="0"/>
              <w:wordWrap/>
              <w:overflowPunct/>
              <w:topLinePunct w:val="0"/>
              <w:autoSpaceDE w:val="0"/>
              <w:autoSpaceDN w:val="0"/>
              <w:bidi w:val="0"/>
              <w:adjustRightInd w:val="0"/>
              <w:snapToGrid w:val="0"/>
              <w:spacing w:line="320" w:lineRule="exact"/>
              <w:ind w:left="113" w:right="171" w:firstLine="420" w:firstLineChars="200"/>
              <w:jc w:val="both"/>
              <w:textAlignment w:val="baseline"/>
              <w:rPr>
                <w:rFonts w:hint="eastAsia" w:ascii="宋体" w:hAnsi="宋体" w:eastAsia="宋体" w:cs="宋体"/>
                <w:kern w:val="2"/>
                <w:sz w:val="21"/>
                <w:szCs w:val="21"/>
                <w:highlight w:val="none"/>
                <w:lang w:val="en-US" w:eastAsia="en-US" w:bidi="ar-SA"/>
              </w:rPr>
            </w:pPr>
            <w:r>
              <w:rPr>
                <w:rFonts w:hint="eastAsia" w:ascii="宋体" w:hAnsi="宋体" w:eastAsia="宋体" w:cs="宋体"/>
                <w:color w:val="000000"/>
                <w:kern w:val="2"/>
                <w:sz w:val="21"/>
                <w:szCs w:val="21"/>
                <w:highlight w:val="none"/>
                <w:lang w:val="en-US" w:eastAsia="en-US" w:bidi="ar-SA"/>
              </w:rPr>
              <w:t>如果投标文件由投标人的法定代表人亲自签署，则投标人须提交法定代表人身份证明，身份证明应符合第六章“投标文件格式”的要求。</w:t>
            </w:r>
          </w:p>
        </w:tc>
      </w:tr>
      <w:tr w14:paraId="7FBD3D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jc w:val="center"/>
        </w:trPr>
        <w:tc>
          <w:tcPr>
            <w:tcW w:w="803" w:type="dxa"/>
            <w:vMerge w:val="continue"/>
            <w:tcBorders>
              <w:top w:val="nil"/>
              <w:bottom w:val="nil"/>
            </w:tcBorders>
            <w:vAlign w:val="center"/>
          </w:tcPr>
          <w:p w14:paraId="2543EFE5">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sz w:val="21"/>
                <w:szCs w:val="21"/>
                <w:highlight w:val="none"/>
              </w:rPr>
            </w:pPr>
          </w:p>
        </w:tc>
        <w:tc>
          <w:tcPr>
            <w:tcW w:w="1279" w:type="dxa"/>
            <w:vMerge w:val="continue"/>
            <w:tcBorders>
              <w:top w:val="nil"/>
              <w:bottom w:val="nil"/>
            </w:tcBorders>
            <w:vAlign w:val="center"/>
          </w:tcPr>
          <w:p w14:paraId="2C5FF22F">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sz w:val="21"/>
                <w:szCs w:val="21"/>
                <w:highlight w:val="none"/>
              </w:rPr>
            </w:pPr>
          </w:p>
        </w:tc>
        <w:tc>
          <w:tcPr>
            <w:tcW w:w="1551" w:type="dxa"/>
            <w:vAlign w:val="center"/>
          </w:tcPr>
          <w:p w14:paraId="1E9873B8">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kern w:val="2"/>
                <w:sz w:val="21"/>
                <w:szCs w:val="21"/>
                <w:highlight w:val="none"/>
                <w:lang w:val="en-US" w:eastAsia="en-US" w:bidi="ar-SA"/>
              </w:rPr>
            </w:pPr>
            <w:r>
              <w:rPr>
                <w:rFonts w:hint="eastAsia" w:ascii="宋体" w:hAnsi="宋体" w:eastAsia="宋体" w:cs="宋体"/>
                <w:spacing w:val="-2"/>
                <w:kern w:val="2"/>
                <w:sz w:val="21"/>
                <w:szCs w:val="21"/>
                <w:highlight w:val="none"/>
                <w:lang w:val="en-US" w:eastAsia="en-US" w:bidi="ar-SA"/>
              </w:rPr>
              <w:t>投标文件格式</w:t>
            </w:r>
          </w:p>
        </w:tc>
        <w:tc>
          <w:tcPr>
            <w:tcW w:w="6300" w:type="dxa"/>
            <w:vAlign w:val="top"/>
          </w:tcPr>
          <w:p w14:paraId="0AEEAEB9">
            <w:pPr>
              <w:keepNext w:val="0"/>
              <w:keepLines w:val="0"/>
              <w:pageBreakBefore w:val="0"/>
              <w:widowControl w:val="0"/>
              <w:kinsoku w:val="0"/>
              <w:wordWrap/>
              <w:overflowPunct/>
              <w:topLinePunct w:val="0"/>
              <w:autoSpaceDE w:val="0"/>
              <w:autoSpaceDN w:val="0"/>
              <w:bidi w:val="0"/>
              <w:adjustRightInd w:val="0"/>
              <w:snapToGrid w:val="0"/>
              <w:spacing w:line="320" w:lineRule="exact"/>
              <w:ind w:left="115"/>
              <w:jc w:val="both"/>
              <w:textAlignment w:val="baseline"/>
              <w:rPr>
                <w:rFonts w:hint="eastAsia" w:ascii="宋体" w:hAnsi="宋体" w:eastAsia="宋体" w:cs="宋体"/>
                <w:kern w:val="2"/>
                <w:sz w:val="21"/>
                <w:szCs w:val="21"/>
                <w:highlight w:val="none"/>
                <w:lang w:val="en-US" w:eastAsia="en-US" w:bidi="ar-SA"/>
              </w:rPr>
            </w:pPr>
            <w:r>
              <w:rPr>
                <w:rFonts w:hint="eastAsia" w:ascii="宋体" w:hAnsi="宋体" w:eastAsia="宋体" w:cs="宋体"/>
                <w:spacing w:val="-3"/>
                <w:kern w:val="2"/>
                <w:sz w:val="21"/>
                <w:szCs w:val="21"/>
                <w:highlight w:val="none"/>
                <w:lang w:val="en-US" w:eastAsia="en-US" w:bidi="ar-SA"/>
              </w:rPr>
              <w:t>符合第六章“投标文件格式”的规定</w:t>
            </w:r>
          </w:p>
        </w:tc>
      </w:tr>
      <w:tr w14:paraId="3D297C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jc w:val="center"/>
        </w:trPr>
        <w:tc>
          <w:tcPr>
            <w:tcW w:w="803" w:type="dxa"/>
            <w:vMerge w:val="continue"/>
            <w:tcBorders>
              <w:top w:val="nil"/>
              <w:bottom w:val="nil"/>
            </w:tcBorders>
            <w:vAlign w:val="center"/>
          </w:tcPr>
          <w:p w14:paraId="19FEAF72">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sz w:val="21"/>
                <w:szCs w:val="21"/>
                <w:highlight w:val="none"/>
              </w:rPr>
            </w:pPr>
          </w:p>
        </w:tc>
        <w:tc>
          <w:tcPr>
            <w:tcW w:w="1279" w:type="dxa"/>
            <w:vMerge w:val="continue"/>
            <w:tcBorders>
              <w:top w:val="nil"/>
              <w:bottom w:val="nil"/>
            </w:tcBorders>
            <w:vAlign w:val="center"/>
          </w:tcPr>
          <w:p w14:paraId="42DD0B1F">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sz w:val="21"/>
                <w:szCs w:val="21"/>
                <w:highlight w:val="none"/>
              </w:rPr>
            </w:pPr>
          </w:p>
        </w:tc>
        <w:tc>
          <w:tcPr>
            <w:tcW w:w="1551" w:type="dxa"/>
            <w:vAlign w:val="center"/>
          </w:tcPr>
          <w:p w14:paraId="4DA6BF56">
            <w:pPr>
              <w:keepNext w:val="0"/>
              <w:keepLines w:val="0"/>
              <w:pageBreakBefore w:val="0"/>
              <w:widowControl w:val="0"/>
              <w:kinsoku/>
              <w:wordWrap/>
              <w:overflowPunct/>
              <w:topLinePunct w:val="0"/>
              <w:bidi w:val="0"/>
              <w:adjustRightInd/>
              <w:snapToGrid w:val="0"/>
              <w:spacing w:line="320" w:lineRule="exact"/>
              <w:ind w:left="21" w:leftChars="10"/>
              <w:jc w:val="center"/>
              <w:textAlignment w:val="auto"/>
              <w:rPr>
                <w:rFonts w:hint="eastAsia" w:ascii="宋体" w:hAnsi="宋体" w:eastAsia="宋体" w:cs="宋体"/>
                <w:spacing w:val="-2"/>
                <w:sz w:val="21"/>
                <w:szCs w:val="21"/>
                <w:highlight w:val="none"/>
              </w:rPr>
            </w:pPr>
            <w:r>
              <w:rPr>
                <w:rFonts w:hint="eastAsia" w:ascii="宋体" w:hAnsi="宋体" w:eastAsia="宋体" w:cs="宋体"/>
                <w:color w:val="000000"/>
                <w:kern w:val="2"/>
                <w:sz w:val="21"/>
                <w:szCs w:val="21"/>
                <w:highlight w:val="none"/>
              </w:rPr>
              <w:t>联合体投标人</w:t>
            </w:r>
          </w:p>
        </w:tc>
        <w:tc>
          <w:tcPr>
            <w:tcW w:w="6300" w:type="dxa"/>
            <w:vAlign w:val="center"/>
          </w:tcPr>
          <w:p w14:paraId="4D1D9026">
            <w:pPr>
              <w:keepNext w:val="0"/>
              <w:keepLines w:val="0"/>
              <w:pageBreakBefore w:val="0"/>
              <w:widowControl w:val="0"/>
              <w:kinsoku/>
              <w:wordWrap/>
              <w:overflowPunct/>
              <w:topLinePunct w:val="0"/>
              <w:bidi w:val="0"/>
              <w:adjustRightInd/>
              <w:snapToGrid w:val="0"/>
              <w:spacing w:line="320" w:lineRule="exact"/>
              <w:ind w:left="21" w:leftChars="10"/>
              <w:jc w:val="both"/>
              <w:textAlignment w:val="auto"/>
              <w:rPr>
                <w:rFonts w:hint="eastAsia" w:ascii="宋体" w:hAnsi="宋体" w:eastAsia="宋体" w:cs="宋体"/>
                <w:spacing w:val="-3"/>
                <w:sz w:val="21"/>
                <w:szCs w:val="21"/>
                <w:highlight w:val="none"/>
              </w:rPr>
            </w:pPr>
            <w:r>
              <w:rPr>
                <w:rFonts w:hint="eastAsia" w:ascii="宋体" w:hAnsi="宋体" w:eastAsia="宋体" w:cs="宋体"/>
                <w:color w:val="000000"/>
                <w:kern w:val="2"/>
                <w:sz w:val="21"/>
                <w:szCs w:val="21"/>
                <w:highlight w:val="none"/>
              </w:rPr>
              <w:t>未以联合体形式投标</w:t>
            </w:r>
          </w:p>
        </w:tc>
      </w:tr>
      <w:tr w14:paraId="0A31DE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atLeast"/>
          <w:jc w:val="center"/>
        </w:trPr>
        <w:tc>
          <w:tcPr>
            <w:tcW w:w="803" w:type="dxa"/>
            <w:vMerge w:val="continue"/>
            <w:tcBorders>
              <w:top w:val="nil"/>
              <w:bottom w:val="nil"/>
            </w:tcBorders>
            <w:vAlign w:val="center"/>
          </w:tcPr>
          <w:p w14:paraId="597CA2AF">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sz w:val="21"/>
                <w:szCs w:val="21"/>
                <w:highlight w:val="none"/>
              </w:rPr>
            </w:pPr>
          </w:p>
        </w:tc>
        <w:tc>
          <w:tcPr>
            <w:tcW w:w="1279" w:type="dxa"/>
            <w:vMerge w:val="continue"/>
            <w:tcBorders>
              <w:top w:val="nil"/>
              <w:bottom w:val="nil"/>
            </w:tcBorders>
            <w:vAlign w:val="center"/>
          </w:tcPr>
          <w:p w14:paraId="6EE9BA7C">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sz w:val="21"/>
                <w:szCs w:val="21"/>
                <w:highlight w:val="none"/>
              </w:rPr>
            </w:pPr>
          </w:p>
        </w:tc>
        <w:tc>
          <w:tcPr>
            <w:tcW w:w="1551" w:type="dxa"/>
            <w:vAlign w:val="center"/>
          </w:tcPr>
          <w:p w14:paraId="72F2D181">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kern w:val="2"/>
                <w:sz w:val="21"/>
                <w:szCs w:val="21"/>
                <w:highlight w:val="none"/>
                <w:lang w:val="en-US" w:eastAsia="en-US" w:bidi="ar-SA"/>
              </w:rPr>
            </w:pPr>
            <w:r>
              <w:rPr>
                <w:rFonts w:hint="eastAsia" w:ascii="宋体" w:hAnsi="宋体" w:eastAsia="宋体" w:cs="宋体"/>
                <w:spacing w:val="-2"/>
                <w:kern w:val="2"/>
                <w:sz w:val="21"/>
                <w:szCs w:val="21"/>
                <w:highlight w:val="none"/>
                <w:lang w:val="en-US" w:eastAsia="en-US" w:bidi="ar-SA"/>
              </w:rPr>
              <w:t>备选投标方案</w:t>
            </w:r>
          </w:p>
        </w:tc>
        <w:tc>
          <w:tcPr>
            <w:tcW w:w="6300" w:type="dxa"/>
            <w:vAlign w:val="center"/>
          </w:tcPr>
          <w:p w14:paraId="46C1D874">
            <w:pPr>
              <w:keepNext w:val="0"/>
              <w:keepLines w:val="0"/>
              <w:pageBreakBefore w:val="0"/>
              <w:widowControl w:val="0"/>
              <w:kinsoku w:val="0"/>
              <w:wordWrap/>
              <w:overflowPunct/>
              <w:topLinePunct w:val="0"/>
              <w:autoSpaceDE w:val="0"/>
              <w:autoSpaceDN w:val="0"/>
              <w:bidi w:val="0"/>
              <w:adjustRightInd w:val="0"/>
              <w:snapToGrid w:val="0"/>
              <w:spacing w:line="320" w:lineRule="exact"/>
              <w:ind w:right="180"/>
              <w:jc w:val="left"/>
              <w:textAlignment w:val="baseline"/>
              <w:rPr>
                <w:rFonts w:hint="eastAsia" w:ascii="宋体" w:hAnsi="宋体" w:eastAsia="宋体" w:cs="宋体"/>
                <w:kern w:val="2"/>
                <w:sz w:val="21"/>
                <w:szCs w:val="21"/>
                <w:highlight w:val="none"/>
                <w:lang w:val="en-US" w:eastAsia="en-US" w:bidi="ar-SA"/>
              </w:rPr>
            </w:pPr>
            <w:r>
              <w:rPr>
                <w:rFonts w:hint="eastAsia" w:ascii="宋体" w:hAnsi="宋体" w:eastAsia="宋体" w:cs="宋体"/>
                <w:color w:val="000000"/>
                <w:kern w:val="2"/>
                <w:sz w:val="21"/>
                <w:szCs w:val="21"/>
                <w:highlight w:val="none"/>
                <w:lang w:val="en-US" w:eastAsia="en-US" w:bidi="ar-SA"/>
              </w:rPr>
              <w:t>未提交备选投标方案</w:t>
            </w:r>
          </w:p>
        </w:tc>
      </w:tr>
      <w:tr w14:paraId="59E4A5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atLeast"/>
          <w:jc w:val="center"/>
        </w:trPr>
        <w:tc>
          <w:tcPr>
            <w:tcW w:w="803" w:type="dxa"/>
            <w:vMerge w:val="continue"/>
            <w:tcBorders>
              <w:top w:val="nil"/>
              <w:bottom w:val="single" w:color="auto" w:sz="4" w:space="0"/>
            </w:tcBorders>
            <w:vAlign w:val="center"/>
          </w:tcPr>
          <w:p w14:paraId="24435C5E">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sz w:val="21"/>
                <w:szCs w:val="21"/>
                <w:highlight w:val="none"/>
              </w:rPr>
            </w:pPr>
          </w:p>
        </w:tc>
        <w:tc>
          <w:tcPr>
            <w:tcW w:w="1279" w:type="dxa"/>
            <w:vMerge w:val="continue"/>
            <w:tcBorders>
              <w:top w:val="nil"/>
              <w:bottom w:val="single" w:color="auto" w:sz="4" w:space="0"/>
            </w:tcBorders>
            <w:vAlign w:val="center"/>
          </w:tcPr>
          <w:p w14:paraId="1B12AC9A">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sz w:val="21"/>
                <w:szCs w:val="21"/>
                <w:highlight w:val="none"/>
              </w:rPr>
            </w:pPr>
          </w:p>
        </w:tc>
        <w:tc>
          <w:tcPr>
            <w:tcW w:w="1551" w:type="dxa"/>
            <w:tcBorders>
              <w:bottom w:val="single" w:color="auto" w:sz="4" w:space="0"/>
            </w:tcBorders>
            <w:vAlign w:val="center"/>
          </w:tcPr>
          <w:p w14:paraId="433E9F7E">
            <w:pPr>
              <w:keepNext w:val="0"/>
              <w:keepLines w:val="0"/>
              <w:pageBreakBefore w:val="0"/>
              <w:widowControl w:val="0"/>
              <w:kinsoku/>
              <w:wordWrap/>
              <w:overflowPunct/>
              <w:topLinePunct w:val="0"/>
              <w:autoSpaceDE w:val="0"/>
              <w:bidi w:val="0"/>
              <w:adjustRightInd/>
              <w:snapToGrid w:val="0"/>
              <w:spacing w:line="320" w:lineRule="exact"/>
              <w:ind w:left="21" w:leftChars="10"/>
              <w:jc w:val="center"/>
              <w:textAlignment w:val="auto"/>
              <w:rPr>
                <w:rFonts w:hint="eastAsia" w:ascii="宋体" w:hAnsi="宋体" w:eastAsia="宋体" w:cs="宋体"/>
                <w:spacing w:val="-2"/>
                <w:sz w:val="21"/>
                <w:szCs w:val="21"/>
                <w:highlight w:val="none"/>
              </w:rPr>
            </w:pPr>
            <w:r>
              <w:rPr>
                <w:rFonts w:hint="eastAsia" w:ascii="宋体" w:hAnsi="宋体" w:eastAsia="宋体" w:cs="宋体"/>
                <w:color w:val="auto"/>
                <w:kern w:val="2"/>
                <w:sz w:val="21"/>
                <w:szCs w:val="21"/>
                <w:highlight w:val="none"/>
              </w:rPr>
              <w:t>分包</w:t>
            </w:r>
          </w:p>
        </w:tc>
        <w:tc>
          <w:tcPr>
            <w:tcW w:w="6300" w:type="dxa"/>
            <w:tcBorders>
              <w:bottom w:val="single" w:color="auto" w:sz="4" w:space="0"/>
            </w:tcBorders>
            <w:vAlign w:val="center"/>
          </w:tcPr>
          <w:p w14:paraId="4D9F08C0">
            <w:pPr>
              <w:keepNext w:val="0"/>
              <w:keepLines w:val="0"/>
              <w:pageBreakBefore w:val="0"/>
              <w:widowControl w:val="0"/>
              <w:kinsoku/>
              <w:wordWrap/>
              <w:overflowPunct/>
              <w:topLinePunct w:val="0"/>
              <w:autoSpaceDE w:val="0"/>
              <w:bidi w:val="0"/>
              <w:adjustRightInd/>
              <w:snapToGrid w:val="0"/>
              <w:spacing w:line="320" w:lineRule="exact"/>
              <w:ind w:left="21" w:leftChars="10"/>
              <w:jc w:val="both"/>
              <w:textAlignment w:val="auto"/>
              <w:rPr>
                <w:rFonts w:hint="eastAsia" w:ascii="宋体" w:hAnsi="宋体" w:eastAsia="宋体" w:cs="宋体"/>
                <w:color w:val="000000"/>
                <w:kern w:val="2"/>
                <w:sz w:val="21"/>
                <w:szCs w:val="21"/>
                <w:highlight w:val="none"/>
              </w:rPr>
            </w:pPr>
            <w:r>
              <w:rPr>
                <w:rFonts w:hint="eastAsia" w:ascii="宋体" w:hAnsi="宋体" w:eastAsia="宋体" w:cs="宋体"/>
                <w:color w:val="auto"/>
                <w:kern w:val="2"/>
                <w:sz w:val="21"/>
                <w:szCs w:val="21"/>
                <w:highlight w:val="none"/>
              </w:rPr>
              <w:t>投标人未对本项目提出分包计划</w:t>
            </w:r>
          </w:p>
        </w:tc>
      </w:tr>
      <w:tr w14:paraId="77D00D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atLeast"/>
          <w:jc w:val="center"/>
        </w:trPr>
        <w:tc>
          <w:tcPr>
            <w:tcW w:w="803" w:type="dxa"/>
            <w:vMerge w:val="continue"/>
            <w:tcBorders>
              <w:top w:val="nil"/>
              <w:bottom w:val="single" w:color="auto" w:sz="4" w:space="0"/>
            </w:tcBorders>
            <w:vAlign w:val="center"/>
          </w:tcPr>
          <w:p w14:paraId="6D8E16BC">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sz w:val="21"/>
                <w:szCs w:val="21"/>
                <w:highlight w:val="none"/>
              </w:rPr>
            </w:pPr>
          </w:p>
        </w:tc>
        <w:tc>
          <w:tcPr>
            <w:tcW w:w="1279" w:type="dxa"/>
            <w:vMerge w:val="continue"/>
            <w:tcBorders>
              <w:top w:val="nil"/>
              <w:bottom w:val="single" w:color="auto" w:sz="4" w:space="0"/>
            </w:tcBorders>
            <w:vAlign w:val="center"/>
          </w:tcPr>
          <w:p w14:paraId="55BD6E3A">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sz w:val="21"/>
                <w:szCs w:val="21"/>
                <w:highlight w:val="none"/>
              </w:rPr>
            </w:pPr>
          </w:p>
        </w:tc>
        <w:tc>
          <w:tcPr>
            <w:tcW w:w="1551" w:type="dxa"/>
            <w:tcBorders>
              <w:bottom w:val="single" w:color="auto" w:sz="4" w:space="0"/>
            </w:tcBorders>
            <w:vAlign w:val="center"/>
          </w:tcPr>
          <w:p w14:paraId="36EDBF57">
            <w:pPr>
              <w:keepNext w:val="0"/>
              <w:keepLines w:val="0"/>
              <w:pageBreakBefore w:val="0"/>
              <w:widowControl w:val="0"/>
              <w:kinsoku/>
              <w:wordWrap/>
              <w:overflowPunct/>
              <w:topLinePunct w:val="0"/>
              <w:autoSpaceDE w:val="0"/>
              <w:bidi w:val="0"/>
              <w:adjustRightInd/>
              <w:snapToGrid w:val="0"/>
              <w:spacing w:line="320" w:lineRule="exact"/>
              <w:ind w:left="21" w:leftChars="10"/>
              <w:jc w:val="center"/>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投标</w:t>
            </w:r>
          </w:p>
        </w:tc>
        <w:tc>
          <w:tcPr>
            <w:tcW w:w="6300" w:type="dxa"/>
            <w:tcBorders>
              <w:bottom w:val="single" w:color="auto" w:sz="4" w:space="0"/>
            </w:tcBorders>
            <w:vAlign w:val="center"/>
          </w:tcPr>
          <w:p w14:paraId="02B39A0E">
            <w:pPr>
              <w:keepNext w:val="0"/>
              <w:keepLines w:val="0"/>
              <w:pageBreakBefore w:val="0"/>
              <w:widowControl w:val="0"/>
              <w:kinsoku/>
              <w:wordWrap/>
              <w:overflowPunct/>
              <w:topLinePunct w:val="0"/>
              <w:autoSpaceDE w:val="0"/>
              <w:bidi w:val="0"/>
              <w:adjustRightInd/>
              <w:snapToGrid w:val="0"/>
              <w:spacing w:line="320" w:lineRule="exact"/>
              <w:ind w:left="21" w:leftChars="10"/>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制造商与其经销商</w:t>
            </w:r>
            <w:r>
              <w:rPr>
                <w:rFonts w:hint="eastAsia" w:ascii="宋体" w:hAnsi="宋体" w:eastAsia="宋体" w:cs="宋体"/>
                <w:color w:val="auto"/>
                <w:kern w:val="2"/>
                <w:sz w:val="21"/>
                <w:szCs w:val="21"/>
                <w:highlight w:val="none"/>
                <w:lang w:val="en-US" w:eastAsia="zh-CN"/>
              </w:rPr>
              <w:t>未</w:t>
            </w:r>
            <w:r>
              <w:rPr>
                <w:rFonts w:hint="eastAsia" w:ascii="宋体" w:hAnsi="宋体" w:eastAsia="宋体" w:cs="宋体"/>
                <w:color w:val="auto"/>
                <w:kern w:val="2"/>
                <w:sz w:val="21"/>
                <w:szCs w:val="21"/>
                <w:highlight w:val="none"/>
              </w:rPr>
              <w:t>同时参加本项目的投标</w:t>
            </w:r>
          </w:p>
        </w:tc>
      </w:tr>
      <w:tr w14:paraId="23EE92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5" w:hRule="atLeast"/>
          <w:jc w:val="center"/>
        </w:trPr>
        <w:tc>
          <w:tcPr>
            <w:tcW w:w="803" w:type="dxa"/>
            <w:vMerge w:val="continue"/>
            <w:tcBorders>
              <w:bottom w:val="single" w:color="auto" w:sz="4" w:space="0"/>
            </w:tcBorders>
            <w:vAlign w:val="center"/>
          </w:tcPr>
          <w:p w14:paraId="7378F92C">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sz w:val="21"/>
                <w:szCs w:val="21"/>
                <w:highlight w:val="none"/>
              </w:rPr>
            </w:pPr>
          </w:p>
        </w:tc>
        <w:tc>
          <w:tcPr>
            <w:tcW w:w="1279" w:type="dxa"/>
            <w:vMerge w:val="continue"/>
            <w:tcBorders>
              <w:bottom w:val="single" w:color="auto" w:sz="4" w:space="0"/>
            </w:tcBorders>
            <w:vAlign w:val="center"/>
          </w:tcPr>
          <w:p w14:paraId="6D238D68">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sz w:val="21"/>
                <w:szCs w:val="21"/>
                <w:highlight w:val="none"/>
              </w:rPr>
            </w:pPr>
          </w:p>
        </w:tc>
        <w:tc>
          <w:tcPr>
            <w:tcW w:w="1551" w:type="dxa"/>
            <w:tcBorders>
              <w:top w:val="single" w:color="auto" w:sz="4" w:space="0"/>
              <w:bottom w:val="single" w:color="auto" w:sz="4" w:space="0"/>
            </w:tcBorders>
            <w:vAlign w:val="center"/>
          </w:tcPr>
          <w:p w14:paraId="780C7E8B">
            <w:pPr>
              <w:keepNext w:val="0"/>
              <w:keepLines w:val="0"/>
              <w:pageBreakBefore w:val="0"/>
              <w:widowControl w:val="0"/>
              <w:wordWrap/>
              <w:overflowPunct/>
              <w:topLinePunct w:val="0"/>
              <w:bidi w:val="0"/>
              <w:snapToGrid w:val="0"/>
              <w:spacing w:line="300" w:lineRule="exact"/>
              <w:jc w:val="center"/>
              <w:rPr>
                <w:rFonts w:hint="default" w:ascii="宋体" w:hAnsi="宋体" w:eastAsia="宋体" w:cs="宋体"/>
                <w:color w:val="auto"/>
                <w:kern w:val="2"/>
                <w:sz w:val="21"/>
                <w:szCs w:val="21"/>
                <w:highlight w:val="none"/>
                <w:lang w:val="en-US" w:eastAsia="en-US" w:bidi="ar-SA"/>
              </w:rPr>
            </w:pPr>
            <w:r>
              <w:rPr>
                <w:rFonts w:hint="eastAsia" w:ascii="宋体" w:hAnsi="宋体" w:eastAsia="宋体" w:cs="Times New Roman"/>
                <w:kern w:val="0"/>
                <w:sz w:val="21"/>
                <w:szCs w:val="21"/>
                <w:highlight w:val="none"/>
                <w:lang w:val="en-US" w:eastAsia="zh-CN" w:bidi="ar-SA"/>
              </w:rPr>
              <w:t>异常投标情形</w:t>
            </w:r>
          </w:p>
        </w:tc>
        <w:tc>
          <w:tcPr>
            <w:tcW w:w="6300" w:type="dxa"/>
            <w:tcBorders>
              <w:top w:val="single" w:color="auto" w:sz="4" w:space="0"/>
            </w:tcBorders>
            <w:vAlign w:val="center"/>
          </w:tcPr>
          <w:p w14:paraId="4C10AAA1">
            <w:pPr>
              <w:keepNext w:val="0"/>
              <w:keepLines w:val="0"/>
              <w:pageBreakBefore w:val="0"/>
              <w:widowControl w:val="0"/>
              <w:numPr>
                <w:ilvl w:val="0"/>
                <w:numId w:val="2"/>
              </w:numPr>
              <w:tabs>
                <w:tab w:val="left" w:pos="3060"/>
              </w:tabs>
              <w:wordWrap/>
              <w:overflowPunct/>
              <w:topLinePunct w:val="0"/>
              <w:bidi w:val="0"/>
              <w:snapToGrid w:val="0"/>
              <w:spacing w:line="300" w:lineRule="exact"/>
              <w:rPr>
                <w:rFonts w:hint="eastAsia" w:ascii="宋体" w:hAnsi="宋体" w:eastAsia="宋体" w:cs="Times New Roman"/>
                <w:bCs/>
                <w:color w:val="000000"/>
                <w:sz w:val="21"/>
                <w:szCs w:val="21"/>
                <w:highlight w:val="none"/>
              </w:rPr>
            </w:pPr>
            <w:r>
              <w:rPr>
                <w:rFonts w:hint="eastAsia" w:ascii="宋体" w:hAnsi="宋体" w:eastAsia="宋体" w:cs="Times New Roman"/>
                <w:bCs/>
                <w:color w:val="000000"/>
                <w:sz w:val="21"/>
                <w:szCs w:val="21"/>
                <w:highlight w:val="none"/>
              </w:rPr>
              <w:t>投标人不存在投标人须知前附表4.4(1)、(3)项规定的情形。</w:t>
            </w:r>
          </w:p>
          <w:p w14:paraId="09AF4AD0">
            <w:pPr>
              <w:keepNext w:val="0"/>
              <w:keepLines w:val="0"/>
              <w:pageBreakBefore w:val="0"/>
              <w:widowControl w:val="0"/>
              <w:numPr>
                <w:ilvl w:val="0"/>
                <w:numId w:val="2"/>
              </w:numPr>
              <w:tabs>
                <w:tab w:val="left" w:pos="3060"/>
              </w:tabs>
              <w:wordWrap/>
              <w:overflowPunct/>
              <w:topLinePunct w:val="0"/>
              <w:bidi w:val="0"/>
              <w:snapToGrid w:val="0"/>
              <w:spacing w:line="300" w:lineRule="exact"/>
              <w:rPr>
                <w:rFonts w:hint="eastAsia" w:ascii="宋体" w:hAnsi="宋体" w:eastAsia="宋体" w:cs="宋体"/>
                <w:color w:val="auto"/>
                <w:kern w:val="2"/>
                <w:sz w:val="21"/>
                <w:szCs w:val="21"/>
                <w:highlight w:val="none"/>
              </w:rPr>
            </w:pPr>
            <w:r>
              <w:rPr>
                <w:rFonts w:hint="eastAsia" w:ascii="宋体" w:hAnsi="宋体" w:eastAsia="宋体" w:cs="Times New Roman"/>
                <w:bCs/>
                <w:color w:val="000000"/>
                <w:sz w:val="21"/>
                <w:szCs w:val="21"/>
                <w:highlight w:val="none"/>
              </w:rPr>
              <w:t>投标人不存在因投标人须知前附表4.4(2)项规定的情形被评标委员会认定为</w:t>
            </w:r>
            <w:r>
              <w:rPr>
                <w:rFonts w:hint="eastAsia" w:ascii="宋体" w:hAnsi="宋体" w:eastAsia="宋体" w:cs="宋体"/>
                <w:color w:val="000000"/>
                <w:sz w:val="21"/>
                <w:szCs w:val="21"/>
                <w:highlight w:val="none"/>
              </w:rPr>
              <w:t>投标文件异常一致或投标活动异常关联活动情形</w:t>
            </w:r>
            <w:r>
              <w:rPr>
                <w:rFonts w:hint="eastAsia" w:ascii="宋体" w:hAnsi="宋体" w:eastAsia="宋体" w:cs="宋体"/>
                <w:color w:val="000000"/>
                <w:sz w:val="21"/>
                <w:szCs w:val="21"/>
                <w:highlight w:val="none"/>
                <w:lang w:eastAsia="zh-CN"/>
              </w:rPr>
              <w:t>。</w:t>
            </w:r>
          </w:p>
        </w:tc>
      </w:tr>
      <w:tr w14:paraId="0E3DDA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jc w:val="center"/>
        </w:trPr>
        <w:tc>
          <w:tcPr>
            <w:tcW w:w="803" w:type="dxa"/>
            <w:vMerge w:val="restart"/>
            <w:tcBorders>
              <w:top w:val="single" w:color="auto" w:sz="4" w:space="0"/>
              <w:bottom w:val="nil"/>
            </w:tcBorders>
            <w:vAlign w:val="center"/>
          </w:tcPr>
          <w:p w14:paraId="6981778E">
            <w:pPr>
              <w:keepNext w:val="0"/>
              <w:keepLines w:val="0"/>
              <w:pageBreakBefore w:val="0"/>
              <w:widowControl w:val="0"/>
              <w:kinsoku w:val="0"/>
              <w:wordWrap/>
              <w:overflowPunct/>
              <w:topLinePunct w:val="0"/>
              <w:autoSpaceDE w:val="0"/>
              <w:autoSpaceDN w:val="0"/>
              <w:bidi w:val="0"/>
              <w:adjustRightInd w:val="0"/>
              <w:snapToGrid w:val="0"/>
              <w:spacing w:line="320" w:lineRule="exact"/>
              <w:ind w:left="186"/>
              <w:jc w:val="both"/>
              <w:textAlignment w:val="baseline"/>
              <w:rPr>
                <w:rFonts w:hint="eastAsia" w:ascii="宋体" w:hAnsi="宋体" w:eastAsia="宋体" w:cs="宋体"/>
                <w:kern w:val="2"/>
                <w:sz w:val="21"/>
                <w:szCs w:val="21"/>
                <w:highlight w:val="none"/>
                <w:lang w:val="en-US" w:eastAsia="en-US" w:bidi="ar-SA"/>
              </w:rPr>
            </w:pPr>
            <w:r>
              <w:rPr>
                <w:rFonts w:hint="eastAsia" w:ascii="宋体" w:hAnsi="宋体" w:eastAsia="宋体" w:cs="宋体"/>
                <w:spacing w:val="-2"/>
                <w:kern w:val="2"/>
                <w:sz w:val="21"/>
                <w:szCs w:val="21"/>
                <w:highlight w:val="none"/>
                <w:lang w:val="en-US" w:eastAsia="en-US" w:bidi="ar-SA"/>
              </w:rPr>
              <w:t>2.1.2</w:t>
            </w:r>
          </w:p>
        </w:tc>
        <w:tc>
          <w:tcPr>
            <w:tcW w:w="1279" w:type="dxa"/>
            <w:vMerge w:val="restart"/>
            <w:tcBorders>
              <w:top w:val="single" w:color="auto" w:sz="4" w:space="0"/>
              <w:bottom w:val="nil"/>
            </w:tcBorders>
            <w:vAlign w:val="center"/>
          </w:tcPr>
          <w:p w14:paraId="1DFFDBBE">
            <w:pPr>
              <w:keepNext w:val="0"/>
              <w:keepLines w:val="0"/>
              <w:pageBreakBefore w:val="0"/>
              <w:widowControl w:val="0"/>
              <w:kinsoku w:val="0"/>
              <w:wordWrap/>
              <w:overflowPunct/>
              <w:topLinePunct w:val="0"/>
              <w:autoSpaceDE w:val="0"/>
              <w:autoSpaceDN w:val="0"/>
              <w:bidi w:val="0"/>
              <w:adjustRightInd w:val="0"/>
              <w:snapToGrid w:val="0"/>
              <w:spacing w:line="320" w:lineRule="exact"/>
              <w:ind w:left="345" w:right="119" w:hanging="212"/>
              <w:jc w:val="both"/>
              <w:textAlignment w:val="baseline"/>
              <w:rPr>
                <w:rFonts w:hint="eastAsia" w:ascii="宋体" w:hAnsi="宋体" w:eastAsia="宋体" w:cs="宋体"/>
                <w:kern w:val="2"/>
                <w:sz w:val="21"/>
                <w:szCs w:val="21"/>
                <w:highlight w:val="none"/>
                <w:lang w:val="en-US" w:eastAsia="en-US" w:bidi="ar-SA"/>
              </w:rPr>
            </w:pPr>
            <w:r>
              <w:rPr>
                <w:rFonts w:hint="eastAsia" w:ascii="宋体" w:hAnsi="宋体" w:eastAsia="宋体" w:cs="宋体"/>
                <w:spacing w:val="-4"/>
                <w:kern w:val="2"/>
                <w:sz w:val="21"/>
                <w:szCs w:val="21"/>
                <w:highlight w:val="none"/>
                <w:lang w:val="en-US" w:eastAsia="en-US" w:bidi="ar-SA"/>
              </w:rPr>
              <w:t>资格评审</w:t>
            </w:r>
            <w:r>
              <w:rPr>
                <w:rFonts w:hint="eastAsia" w:ascii="宋体" w:hAnsi="宋体" w:eastAsia="宋体" w:cs="宋体"/>
                <w:spacing w:val="-2"/>
                <w:kern w:val="2"/>
                <w:sz w:val="21"/>
                <w:szCs w:val="21"/>
                <w:highlight w:val="none"/>
                <w:lang w:val="en-US" w:eastAsia="en-US" w:bidi="ar-SA"/>
              </w:rPr>
              <w:t>标准</w:t>
            </w:r>
          </w:p>
        </w:tc>
        <w:tc>
          <w:tcPr>
            <w:tcW w:w="1551" w:type="dxa"/>
            <w:tcBorders>
              <w:top w:val="single" w:color="auto" w:sz="4" w:space="0"/>
            </w:tcBorders>
            <w:vAlign w:val="center"/>
          </w:tcPr>
          <w:p w14:paraId="6DC0523B">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kern w:val="2"/>
                <w:sz w:val="21"/>
                <w:szCs w:val="21"/>
                <w:highlight w:val="none"/>
                <w:lang w:val="en-US" w:eastAsia="en-US" w:bidi="ar-SA"/>
              </w:rPr>
            </w:pPr>
            <w:r>
              <w:rPr>
                <w:rFonts w:hint="eastAsia" w:ascii="宋体" w:hAnsi="宋体" w:eastAsia="宋体" w:cs="宋体"/>
                <w:spacing w:val="-2"/>
                <w:kern w:val="2"/>
                <w:sz w:val="21"/>
                <w:szCs w:val="21"/>
                <w:highlight w:val="none"/>
                <w:lang w:val="en-US" w:eastAsia="en-US" w:bidi="ar-SA"/>
              </w:rPr>
              <w:t>营业执照</w:t>
            </w:r>
          </w:p>
        </w:tc>
        <w:tc>
          <w:tcPr>
            <w:tcW w:w="6300" w:type="dxa"/>
            <w:vAlign w:val="top"/>
          </w:tcPr>
          <w:p w14:paraId="302BB84B">
            <w:pPr>
              <w:keepNext w:val="0"/>
              <w:keepLines w:val="0"/>
              <w:pageBreakBefore w:val="0"/>
              <w:widowControl w:val="0"/>
              <w:kinsoku w:val="0"/>
              <w:wordWrap/>
              <w:overflowPunct/>
              <w:topLinePunct w:val="0"/>
              <w:autoSpaceDE w:val="0"/>
              <w:autoSpaceDN w:val="0"/>
              <w:bidi w:val="0"/>
              <w:adjustRightInd w:val="0"/>
              <w:snapToGrid w:val="0"/>
              <w:spacing w:line="320" w:lineRule="exact"/>
              <w:ind w:left="117" w:right="219" w:hanging="2"/>
              <w:jc w:val="both"/>
              <w:textAlignment w:val="baseline"/>
              <w:rPr>
                <w:rFonts w:hint="eastAsia" w:ascii="宋体" w:hAnsi="宋体" w:eastAsia="宋体" w:cs="宋体"/>
                <w:kern w:val="2"/>
                <w:sz w:val="21"/>
                <w:szCs w:val="21"/>
                <w:highlight w:val="none"/>
                <w:lang w:val="en-US" w:eastAsia="en-US" w:bidi="ar-SA"/>
              </w:rPr>
            </w:pPr>
            <w:r>
              <w:rPr>
                <w:rFonts w:hint="eastAsia" w:ascii="宋体" w:hAnsi="宋体" w:eastAsia="宋体" w:cs="宋体"/>
                <w:spacing w:val="-5"/>
                <w:kern w:val="2"/>
                <w:sz w:val="21"/>
                <w:szCs w:val="21"/>
                <w:highlight w:val="none"/>
                <w:lang w:val="en-US" w:eastAsia="en-US" w:bidi="ar-SA"/>
              </w:rPr>
              <w:t>符合第二章“投标人须知”第3.5.1项规</w:t>
            </w:r>
            <w:r>
              <w:rPr>
                <w:rFonts w:hint="eastAsia" w:ascii="宋体" w:hAnsi="宋体" w:eastAsia="宋体" w:cs="宋体"/>
                <w:spacing w:val="-6"/>
                <w:kern w:val="2"/>
                <w:sz w:val="21"/>
                <w:szCs w:val="21"/>
                <w:highlight w:val="none"/>
                <w:lang w:val="en-US" w:eastAsia="en-US" w:bidi="ar-SA"/>
              </w:rPr>
              <w:t>定，</w:t>
            </w:r>
            <w:r>
              <w:rPr>
                <w:rFonts w:hint="eastAsia" w:ascii="宋体" w:hAnsi="宋体" w:eastAsia="宋体" w:cs="宋体"/>
                <w:spacing w:val="-1"/>
                <w:kern w:val="2"/>
                <w:sz w:val="21"/>
                <w:szCs w:val="21"/>
                <w:highlight w:val="none"/>
                <w:lang w:val="en-US" w:eastAsia="en-US" w:bidi="ar-SA"/>
              </w:rPr>
              <w:t>具备有效的营业执照</w:t>
            </w:r>
          </w:p>
        </w:tc>
      </w:tr>
      <w:tr w14:paraId="687733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jc w:val="center"/>
        </w:trPr>
        <w:tc>
          <w:tcPr>
            <w:tcW w:w="803" w:type="dxa"/>
            <w:vMerge w:val="continue"/>
            <w:tcBorders>
              <w:top w:val="nil"/>
              <w:bottom w:val="nil"/>
            </w:tcBorders>
            <w:vAlign w:val="center"/>
          </w:tcPr>
          <w:p w14:paraId="38BC568A">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sz w:val="21"/>
                <w:szCs w:val="21"/>
                <w:highlight w:val="none"/>
              </w:rPr>
            </w:pPr>
          </w:p>
        </w:tc>
        <w:tc>
          <w:tcPr>
            <w:tcW w:w="1279" w:type="dxa"/>
            <w:vMerge w:val="continue"/>
            <w:tcBorders>
              <w:top w:val="nil"/>
              <w:bottom w:val="nil"/>
            </w:tcBorders>
            <w:vAlign w:val="top"/>
          </w:tcPr>
          <w:p w14:paraId="0BD35481">
            <w:pPr>
              <w:keepNext w:val="0"/>
              <w:keepLines w:val="0"/>
              <w:pageBreakBefore w:val="0"/>
              <w:widowControl w:val="0"/>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sz w:val="21"/>
                <w:szCs w:val="21"/>
                <w:highlight w:val="none"/>
              </w:rPr>
            </w:pPr>
          </w:p>
        </w:tc>
        <w:tc>
          <w:tcPr>
            <w:tcW w:w="1551" w:type="dxa"/>
            <w:vAlign w:val="top"/>
          </w:tcPr>
          <w:p w14:paraId="591EC70C">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kern w:val="2"/>
                <w:sz w:val="21"/>
                <w:szCs w:val="21"/>
                <w:highlight w:val="none"/>
                <w:lang w:val="en-US" w:eastAsia="en-US" w:bidi="ar-SA"/>
              </w:rPr>
            </w:pPr>
            <w:r>
              <w:rPr>
                <w:rFonts w:hint="eastAsia" w:ascii="宋体" w:hAnsi="宋体" w:eastAsia="宋体" w:cs="宋体"/>
                <w:spacing w:val="-3"/>
                <w:kern w:val="2"/>
                <w:sz w:val="21"/>
                <w:szCs w:val="21"/>
                <w:highlight w:val="none"/>
                <w:lang w:val="en-US" w:eastAsia="en-US" w:bidi="ar-SA"/>
              </w:rPr>
              <w:t>资质要求</w:t>
            </w:r>
          </w:p>
        </w:tc>
        <w:tc>
          <w:tcPr>
            <w:tcW w:w="6300" w:type="dxa"/>
            <w:vAlign w:val="top"/>
          </w:tcPr>
          <w:p w14:paraId="796B5067">
            <w:pPr>
              <w:keepNext w:val="0"/>
              <w:keepLines w:val="0"/>
              <w:pageBreakBefore w:val="0"/>
              <w:widowControl w:val="0"/>
              <w:kinsoku w:val="0"/>
              <w:wordWrap/>
              <w:overflowPunct/>
              <w:topLinePunct w:val="0"/>
              <w:autoSpaceDE w:val="0"/>
              <w:autoSpaceDN w:val="0"/>
              <w:bidi w:val="0"/>
              <w:adjustRightInd w:val="0"/>
              <w:snapToGrid w:val="0"/>
              <w:spacing w:line="320" w:lineRule="exact"/>
              <w:ind w:left="115"/>
              <w:jc w:val="both"/>
              <w:textAlignment w:val="baseline"/>
              <w:rPr>
                <w:rFonts w:hint="eastAsia" w:ascii="宋体" w:hAnsi="宋体" w:eastAsia="宋体" w:cs="宋体"/>
                <w:kern w:val="2"/>
                <w:sz w:val="21"/>
                <w:szCs w:val="21"/>
                <w:highlight w:val="none"/>
                <w:lang w:val="en-US" w:eastAsia="en-US" w:bidi="ar-SA"/>
              </w:rPr>
            </w:pPr>
            <w:r>
              <w:rPr>
                <w:rFonts w:hint="eastAsia" w:ascii="宋体" w:hAnsi="宋体" w:eastAsia="宋体" w:cs="宋体"/>
                <w:spacing w:val="-4"/>
                <w:kern w:val="2"/>
                <w:sz w:val="21"/>
                <w:szCs w:val="21"/>
                <w:highlight w:val="none"/>
                <w:lang w:val="en-US" w:eastAsia="en-US" w:bidi="ar-SA"/>
              </w:rPr>
              <w:t>符合第二章“投标人须知”第1.4.1项规定</w:t>
            </w:r>
          </w:p>
        </w:tc>
      </w:tr>
      <w:tr w14:paraId="4EC3EA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jc w:val="center"/>
        </w:trPr>
        <w:tc>
          <w:tcPr>
            <w:tcW w:w="803" w:type="dxa"/>
            <w:vMerge w:val="continue"/>
            <w:tcBorders>
              <w:top w:val="nil"/>
              <w:bottom w:val="nil"/>
            </w:tcBorders>
            <w:vAlign w:val="center"/>
          </w:tcPr>
          <w:p w14:paraId="35B414AE">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sz w:val="21"/>
                <w:szCs w:val="21"/>
                <w:highlight w:val="none"/>
              </w:rPr>
            </w:pPr>
          </w:p>
        </w:tc>
        <w:tc>
          <w:tcPr>
            <w:tcW w:w="1279" w:type="dxa"/>
            <w:vMerge w:val="continue"/>
            <w:tcBorders>
              <w:top w:val="nil"/>
              <w:bottom w:val="nil"/>
            </w:tcBorders>
            <w:vAlign w:val="top"/>
          </w:tcPr>
          <w:p w14:paraId="42FAC71A">
            <w:pPr>
              <w:keepNext w:val="0"/>
              <w:keepLines w:val="0"/>
              <w:pageBreakBefore w:val="0"/>
              <w:widowControl w:val="0"/>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sz w:val="21"/>
                <w:szCs w:val="21"/>
                <w:highlight w:val="none"/>
              </w:rPr>
            </w:pPr>
          </w:p>
        </w:tc>
        <w:tc>
          <w:tcPr>
            <w:tcW w:w="1551" w:type="dxa"/>
            <w:vAlign w:val="top"/>
          </w:tcPr>
          <w:p w14:paraId="2EF60B82">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kern w:val="2"/>
                <w:sz w:val="21"/>
                <w:szCs w:val="21"/>
                <w:highlight w:val="none"/>
                <w:lang w:val="en-US" w:eastAsia="en-US" w:bidi="ar-SA"/>
              </w:rPr>
            </w:pPr>
            <w:r>
              <w:rPr>
                <w:rFonts w:hint="eastAsia" w:ascii="宋体" w:hAnsi="宋体" w:eastAsia="宋体" w:cs="宋体"/>
                <w:spacing w:val="-1"/>
                <w:kern w:val="2"/>
                <w:sz w:val="21"/>
                <w:szCs w:val="21"/>
                <w:highlight w:val="none"/>
                <w:lang w:val="en-US" w:eastAsia="en-US" w:bidi="ar-SA"/>
              </w:rPr>
              <w:t>业绩要求</w:t>
            </w:r>
          </w:p>
        </w:tc>
        <w:tc>
          <w:tcPr>
            <w:tcW w:w="6300" w:type="dxa"/>
            <w:vAlign w:val="top"/>
          </w:tcPr>
          <w:p w14:paraId="597E4746">
            <w:pPr>
              <w:keepNext w:val="0"/>
              <w:keepLines w:val="0"/>
              <w:pageBreakBefore w:val="0"/>
              <w:widowControl w:val="0"/>
              <w:kinsoku w:val="0"/>
              <w:wordWrap/>
              <w:overflowPunct/>
              <w:topLinePunct w:val="0"/>
              <w:autoSpaceDE w:val="0"/>
              <w:autoSpaceDN w:val="0"/>
              <w:bidi w:val="0"/>
              <w:adjustRightInd w:val="0"/>
              <w:snapToGrid w:val="0"/>
              <w:spacing w:line="320" w:lineRule="exact"/>
              <w:ind w:left="115"/>
              <w:jc w:val="both"/>
              <w:textAlignment w:val="baseline"/>
              <w:rPr>
                <w:rFonts w:hint="eastAsia" w:ascii="宋体" w:hAnsi="宋体" w:eastAsia="宋体" w:cs="宋体"/>
                <w:kern w:val="2"/>
                <w:sz w:val="21"/>
                <w:szCs w:val="21"/>
                <w:highlight w:val="none"/>
                <w:lang w:val="en-US" w:eastAsia="en-US" w:bidi="ar-SA"/>
              </w:rPr>
            </w:pPr>
            <w:r>
              <w:rPr>
                <w:rFonts w:hint="eastAsia" w:ascii="宋体" w:hAnsi="宋体" w:eastAsia="宋体" w:cs="宋体"/>
                <w:spacing w:val="-4"/>
                <w:kern w:val="2"/>
                <w:sz w:val="21"/>
                <w:szCs w:val="21"/>
                <w:highlight w:val="none"/>
                <w:lang w:val="en-US" w:eastAsia="en-US" w:bidi="ar-SA"/>
              </w:rPr>
              <w:t>符合第二章“投标人须知”第1.4.1项规定</w:t>
            </w:r>
          </w:p>
        </w:tc>
      </w:tr>
      <w:tr w14:paraId="4FFD1F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803" w:type="dxa"/>
            <w:vMerge w:val="continue"/>
            <w:tcBorders>
              <w:top w:val="nil"/>
              <w:bottom w:val="nil"/>
            </w:tcBorders>
            <w:vAlign w:val="center"/>
          </w:tcPr>
          <w:p w14:paraId="5F7C4E62">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sz w:val="21"/>
                <w:szCs w:val="21"/>
                <w:highlight w:val="none"/>
              </w:rPr>
            </w:pPr>
          </w:p>
        </w:tc>
        <w:tc>
          <w:tcPr>
            <w:tcW w:w="1279" w:type="dxa"/>
            <w:vMerge w:val="continue"/>
            <w:tcBorders>
              <w:top w:val="nil"/>
              <w:bottom w:val="nil"/>
            </w:tcBorders>
            <w:vAlign w:val="top"/>
          </w:tcPr>
          <w:p w14:paraId="08032F14">
            <w:pPr>
              <w:keepNext w:val="0"/>
              <w:keepLines w:val="0"/>
              <w:pageBreakBefore w:val="0"/>
              <w:widowControl w:val="0"/>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sz w:val="21"/>
                <w:szCs w:val="21"/>
                <w:highlight w:val="none"/>
              </w:rPr>
            </w:pPr>
          </w:p>
        </w:tc>
        <w:tc>
          <w:tcPr>
            <w:tcW w:w="1551" w:type="dxa"/>
            <w:vAlign w:val="top"/>
          </w:tcPr>
          <w:p w14:paraId="5A2A4112">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kern w:val="2"/>
                <w:sz w:val="21"/>
                <w:szCs w:val="21"/>
                <w:highlight w:val="none"/>
                <w:lang w:val="en-US" w:eastAsia="en-US" w:bidi="ar-SA"/>
              </w:rPr>
            </w:pPr>
            <w:r>
              <w:rPr>
                <w:rFonts w:hint="eastAsia" w:ascii="宋体" w:hAnsi="宋体" w:eastAsia="宋体" w:cs="宋体"/>
                <w:spacing w:val="-2"/>
                <w:kern w:val="2"/>
                <w:sz w:val="21"/>
                <w:szCs w:val="21"/>
                <w:highlight w:val="none"/>
                <w:lang w:val="en-US" w:eastAsia="en-US" w:bidi="ar-SA"/>
              </w:rPr>
              <w:t>信誉要求</w:t>
            </w:r>
          </w:p>
        </w:tc>
        <w:tc>
          <w:tcPr>
            <w:tcW w:w="6300" w:type="dxa"/>
            <w:vAlign w:val="top"/>
          </w:tcPr>
          <w:p w14:paraId="2FCA0E94">
            <w:pPr>
              <w:keepNext w:val="0"/>
              <w:keepLines w:val="0"/>
              <w:pageBreakBefore w:val="0"/>
              <w:widowControl w:val="0"/>
              <w:kinsoku w:val="0"/>
              <w:wordWrap/>
              <w:overflowPunct/>
              <w:topLinePunct w:val="0"/>
              <w:autoSpaceDE w:val="0"/>
              <w:autoSpaceDN w:val="0"/>
              <w:bidi w:val="0"/>
              <w:adjustRightInd w:val="0"/>
              <w:snapToGrid w:val="0"/>
              <w:spacing w:line="320" w:lineRule="exact"/>
              <w:ind w:left="115"/>
              <w:jc w:val="both"/>
              <w:textAlignment w:val="baseline"/>
              <w:rPr>
                <w:rFonts w:hint="eastAsia" w:ascii="宋体" w:hAnsi="宋体" w:eastAsia="宋体" w:cs="宋体"/>
                <w:kern w:val="2"/>
                <w:sz w:val="21"/>
                <w:szCs w:val="21"/>
                <w:highlight w:val="none"/>
                <w:lang w:val="en-US" w:eastAsia="en-US" w:bidi="ar-SA"/>
              </w:rPr>
            </w:pPr>
            <w:r>
              <w:rPr>
                <w:rFonts w:hint="eastAsia" w:ascii="宋体" w:hAnsi="宋体" w:eastAsia="宋体" w:cs="宋体"/>
                <w:spacing w:val="-4"/>
                <w:kern w:val="2"/>
                <w:sz w:val="21"/>
                <w:szCs w:val="21"/>
                <w:highlight w:val="none"/>
                <w:lang w:val="en-US" w:eastAsia="en-US" w:bidi="ar-SA"/>
              </w:rPr>
              <w:t>符合第二章“投标人须知”第1.4.1项规定</w:t>
            </w:r>
          </w:p>
        </w:tc>
      </w:tr>
      <w:tr w14:paraId="0FA5CB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jc w:val="center"/>
        </w:trPr>
        <w:tc>
          <w:tcPr>
            <w:tcW w:w="803" w:type="dxa"/>
            <w:vMerge w:val="continue"/>
            <w:tcBorders>
              <w:top w:val="nil"/>
              <w:bottom w:val="nil"/>
            </w:tcBorders>
            <w:vAlign w:val="center"/>
          </w:tcPr>
          <w:p w14:paraId="19E00926">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sz w:val="21"/>
                <w:szCs w:val="21"/>
                <w:highlight w:val="none"/>
              </w:rPr>
            </w:pPr>
          </w:p>
        </w:tc>
        <w:tc>
          <w:tcPr>
            <w:tcW w:w="1279" w:type="dxa"/>
            <w:vMerge w:val="continue"/>
            <w:tcBorders>
              <w:top w:val="nil"/>
              <w:bottom w:val="nil"/>
            </w:tcBorders>
            <w:vAlign w:val="top"/>
          </w:tcPr>
          <w:p w14:paraId="3CC08BF8">
            <w:pPr>
              <w:keepNext w:val="0"/>
              <w:keepLines w:val="0"/>
              <w:pageBreakBefore w:val="0"/>
              <w:widowControl w:val="0"/>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sz w:val="21"/>
                <w:szCs w:val="21"/>
                <w:highlight w:val="none"/>
              </w:rPr>
            </w:pPr>
          </w:p>
        </w:tc>
        <w:tc>
          <w:tcPr>
            <w:tcW w:w="1551" w:type="dxa"/>
            <w:vAlign w:val="top"/>
          </w:tcPr>
          <w:p w14:paraId="504C3A2D">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kern w:val="2"/>
                <w:sz w:val="21"/>
                <w:szCs w:val="21"/>
                <w:highlight w:val="none"/>
                <w:lang w:val="en-US" w:eastAsia="en-US" w:bidi="ar-SA"/>
              </w:rPr>
            </w:pPr>
            <w:r>
              <w:rPr>
                <w:rFonts w:hint="eastAsia" w:ascii="宋体" w:hAnsi="宋体" w:eastAsia="宋体" w:cs="宋体"/>
                <w:spacing w:val="-2"/>
                <w:kern w:val="2"/>
                <w:sz w:val="21"/>
                <w:szCs w:val="21"/>
                <w:highlight w:val="none"/>
                <w:lang w:val="en-US" w:eastAsia="en-US" w:bidi="ar-SA"/>
              </w:rPr>
              <w:t>其他要求</w:t>
            </w:r>
          </w:p>
        </w:tc>
        <w:tc>
          <w:tcPr>
            <w:tcW w:w="6300" w:type="dxa"/>
            <w:vAlign w:val="top"/>
          </w:tcPr>
          <w:p w14:paraId="2CE9B2DC">
            <w:pPr>
              <w:keepNext w:val="0"/>
              <w:keepLines w:val="0"/>
              <w:pageBreakBefore w:val="0"/>
              <w:widowControl w:val="0"/>
              <w:kinsoku w:val="0"/>
              <w:wordWrap/>
              <w:overflowPunct/>
              <w:topLinePunct w:val="0"/>
              <w:autoSpaceDE w:val="0"/>
              <w:autoSpaceDN w:val="0"/>
              <w:bidi w:val="0"/>
              <w:adjustRightInd w:val="0"/>
              <w:snapToGrid w:val="0"/>
              <w:spacing w:line="320" w:lineRule="exact"/>
              <w:ind w:left="115"/>
              <w:jc w:val="both"/>
              <w:textAlignment w:val="baseline"/>
              <w:rPr>
                <w:rFonts w:hint="eastAsia" w:ascii="宋体" w:hAnsi="宋体" w:eastAsia="宋体" w:cs="宋体"/>
                <w:kern w:val="2"/>
                <w:sz w:val="21"/>
                <w:szCs w:val="21"/>
                <w:highlight w:val="none"/>
                <w:lang w:val="en-US" w:eastAsia="en-US" w:bidi="ar-SA"/>
              </w:rPr>
            </w:pPr>
            <w:r>
              <w:rPr>
                <w:rFonts w:hint="eastAsia" w:ascii="宋体" w:hAnsi="宋体" w:eastAsia="宋体" w:cs="宋体"/>
                <w:spacing w:val="-4"/>
                <w:kern w:val="2"/>
                <w:sz w:val="21"/>
                <w:szCs w:val="21"/>
                <w:highlight w:val="none"/>
                <w:lang w:val="en-US" w:eastAsia="en-US" w:bidi="ar-SA"/>
              </w:rPr>
              <w:t>符合第二章“投标人须知”第1.4.1项规定</w:t>
            </w:r>
          </w:p>
        </w:tc>
      </w:tr>
      <w:tr w14:paraId="16FA8E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jc w:val="center"/>
        </w:trPr>
        <w:tc>
          <w:tcPr>
            <w:tcW w:w="803" w:type="dxa"/>
            <w:vMerge w:val="continue"/>
            <w:tcBorders>
              <w:top w:val="nil"/>
            </w:tcBorders>
            <w:vAlign w:val="center"/>
          </w:tcPr>
          <w:p w14:paraId="062310C1">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sz w:val="21"/>
                <w:szCs w:val="21"/>
                <w:highlight w:val="none"/>
              </w:rPr>
            </w:pPr>
          </w:p>
        </w:tc>
        <w:tc>
          <w:tcPr>
            <w:tcW w:w="1279" w:type="dxa"/>
            <w:vMerge w:val="continue"/>
            <w:tcBorders>
              <w:top w:val="nil"/>
            </w:tcBorders>
            <w:vAlign w:val="top"/>
          </w:tcPr>
          <w:p w14:paraId="270506D6">
            <w:pPr>
              <w:keepNext w:val="0"/>
              <w:keepLines w:val="0"/>
              <w:pageBreakBefore w:val="0"/>
              <w:widowControl w:val="0"/>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sz w:val="21"/>
                <w:szCs w:val="21"/>
                <w:highlight w:val="none"/>
              </w:rPr>
            </w:pPr>
          </w:p>
        </w:tc>
        <w:tc>
          <w:tcPr>
            <w:tcW w:w="1551" w:type="dxa"/>
            <w:vAlign w:val="top"/>
          </w:tcPr>
          <w:p w14:paraId="04505512">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kern w:val="2"/>
                <w:sz w:val="21"/>
                <w:szCs w:val="21"/>
                <w:highlight w:val="none"/>
                <w:lang w:val="en-US" w:eastAsia="en-US" w:bidi="ar-SA"/>
              </w:rPr>
            </w:pPr>
            <w:r>
              <w:rPr>
                <w:rFonts w:hint="eastAsia" w:ascii="宋体" w:hAnsi="宋体" w:eastAsia="宋体" w:cs="宋体"/>
                <w:spacing w:val="-1"/>
                <w:kern w:val="2"/>
                <w:sz w:val="21"/>
                <w:szCs w:val="21"/>
                <w:highlight w:val="none"/>
                <w:lang w:val="en-US" w:eastAsia="en-US" w:bidi="ar-SA"/>
              </w:rPr>
              <w:t>不存在禁止投标的情形</w:t>
            </w:r>
          </w:p>
        </w:tc>
        <w:tc>
          <w:tcPr>
            <w:tcW w:w="6300" w:type="dxa"/>
            <w:vAlign w:val="top"/>
          </w:tcPr>
          <w:p w14:paraId="38660B7E">
            <w:pPr>
              <w:keepNext w:val="0"/>
              <w:keepLines w:val="0"/>
              <w:pageBreakBefore w:val="0"/>
              <w:widowControl w:val="0"/>
              <w:kinsoku w:val="0"/>
              <w:wordWrap/>
              <w:overflowPunct/>
              <w:topLinePunct w:val="0"/>
              <w:autoSpaceDE w:val="0"/>
              <w:autoSpaceDN w:val="0"/>
              <w:bidi w:val="0"/>
              <w:adjustRightInd w:val="0"/>
              <w:snapToGrid w:val="0"/>
              <w:spacing w:line="320" w:lineRule="exact"/>
              <w:ind w:left="131" w:right="170" w:hanging="14"/>
              <w:jc w:val="both"/>
              <w:textAlignment w:val="baseline"/>
              <w:rPr>
                <w:rFonts w:hint="eastAsia" w:ascii="宋体" w:hAnsi="宋体" w:eastAsia="宋体" w:cs="宋体"/>
                <w:kern w:val="2"/>
                <w:sz w:val="21"/>
                <w:szCs w:val="21"/>
                <w:highlight w:val="none"/>
                <w:lang w:val="en-US" w:eastAsia="en-US" w:bidi="ar-SA"/>
              </w:rPr>
            </w:pPr>
            <w:r>
              <w:rPr>
                <w:rFonts w:hint="eastAsia" w:ascii="宋体" w:hAnsi="宋体" w:eastAsia="宋体" w:cs="宋体"/>
                <w:spacing w:val="-4"/>
                <w:kern w:val="2"/>
                <w:sz w:val="21"/>
                <w:szCs w:val="21"/>
                <w:highlight w:val="none"/>
                <w:lang w:val="en-US" w:eastAsia="en-US" w:bidi="ar-SA"/>
              </w:rPr>
              <w:t>不存在第二章“投标人须知”第1.4.3项规定的任何一种情形</w:t>
            </w:r>
          </w:p>
        </w:tc>
      </w:tr>
      <w:tr w14:paraId="7AE1CE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jc w:val="center"/>
        </w:trPr>
        <w:tc>
          <w:tcPr>
            <w:tcW w:w="803" w:type="dxa"/>
            <w:vMerge w:val="restart"/>
            <w:tcBorders>
              <w:bottom w:val="nil"/>
            </w:tcBorders>
            <w:vAlign w:val="center"/>
          </w:tcPr>
          <w:p w14:paraId="57131023">
            <w:pPr>
              <w:keepNext w:val="0"/>
              <w:keepLines w:val="0"/>
              <w:pageBreakBefore w:val="0"/>
              <w:widowControl w:val="0"/>
              <w:kinsoku w:val="0"/>
              <w:wordWrap/>
              <w:overflowPunct/>
              <w:topLinePunct w:val="0"/>
              <w:autoSpaceDE w:val="0"/>
              <w:autoSpaceDN w:val="0"/>
              <w:bidi w:val="0"/>
              <w:adjustRightInd w:val="0"/>
              <w:snapToGrid w:val="0"/>
              <w:spacing w:line="320" w:lineRule="exact"/>
              <w:ind w:left="186"/>
              <w:jc w:val="both"/>
              <w:textAlignment w:val="baseline"/>
              <w:rPr>
                <w:rFonts w:hint="eastAsia" w:ascii="宋体" w:hAnsi="宋体" w:eastAsia="宋体" w:cs="宋体"/>
                <w:kern w:val="2"/>
                <w:sz w:val="21"/>
                <w:szCs w:val="21"/>
                <w:highlight w:val="none"/>
                <w:lang w:val="en-US" w:eastAsia="en-US" w:bidi="ar-SA"/>
              </w:rPr>
            </w:pPr>
            <w:r>
              <w:rPr>
                <w:rFonts w:hint="eastAsia" w:ascii="宋体" w:hAnsi="宋体" w:eastAsia="宋体" w:cs="宋体"/>
                <w:spacing w:val="-2"/>
                <w:kern w:val="2"/>
                <w:sz w:val="21"/>
                <w:szCs w:val="21"/>
                <w:highlight w:val="none"/>
                <w:lang w:val="en-US" w:eastAsia="en-US" w:bidi="ar-SA"/>
              </w:rPr>
              <w:t>2.1.3</w:t>
            </w:r>
          </w:p>
        </w:tc>
        <w:tc>
          <w:tcPr>
            <w:tcW w:w="1279" w:type="dxa"/>
            <w:vMerge w:val="restart"/>
            <w:tcBorders>
              <w:bottom w:val="nil"/>
            </w:tcBorders>
            <w:vAlign w:val="center"/>
          </w:tcPr>
          <w:p w14:paraId="7EE9E183">
            <w:pPr>
              <w:keepNext w:val="0"/>
              <w:keepLines w:val="0"/>
              <w:pageBreakBefore w:val="0"/>
              <w:widowControl w:val="0"/>
              <w:kinsoku w:val="0"/>
              <w:wordWrap/>
              <w:overflowPunct/>
              <w:topLinePunct w:val="0"/>
              <w:autoSpaceDE w:val="0"/>
              <w:autoSpaceDN w:val="0"/>
              <w:bidi w:val="0"/>
              <w:adjustRightInd w:val="0"/>
              <w:snapToGrid w:val="0"/>
              <w:spacing w:line="320" w:lineRule="exact"/>
              <w:ind w:right="119"/>
              <w:jc w:val="center"/>
              <w:textAlignment w:val="baseline"/>
              <w:rPr>
                <w:rFonts w:hint="eastAsia" w:ascii="宋体" w:hAnsi="宋体" w:eastAsia="宋体" w:cs="宋体"/>
                <w:kern w:val="2"/>
                <w:sz w:val="21"/>
                <w:szCs w:val="21"/>
                <w:highlight w:val="none"/>
                <w:lang w:val="en-US" w:eastAsia="en-US" w:bidi="ar-SA"/>
              </w:rPr>
            </w:pPr>
            <w:r>
              <w:rPr>
                <w:rFonts w:hint="eastAsia" w:ascii="宋体" w:hAnsi="宋体" w:eastAsia="宋体" w:cs="宋体"/>
                <w:spacing w:val="-5"/>
                <w:kern w:val="2"/>
                <w:sz w:val="21"/>
                <w:szCs w:val="21"/>
                <w:highlight w:val="none"/>
                <w:lang w:val="en-US" w:eastAsia="en-US" w:bidi="ar-SA"/>
              </w:rPr>
              <w:t>响应性评</w:t>
            </w:r>
            <w:r>
              <w:rPr>
                <w:rFonts w:hint="eastAsia" w:ascii="宋体" w:hAnsi="宋体" w:eastAsia="宋体" w:cs="宋体"/>
                <w:spacing w:val="-4"/>
                <w:kern w:val="2"/>
                <w:sz w:val="21"/>
                <w:szCs w:val="21"/>
                <w:highlight w:val="none"/>
                <w:lang w:val="en-US" w:eastAsia="en-US" w:bidi="ar-SA"/>
              </w:rPr>
              <w:t>审标准</w:t>
            </w:r>
          </w:p>
        </w:tc>
        <w:tc>
          <w:tcPr>
            <w:tcW w:w="1551" w:type="dxa"/>
            <w:vAlign w:val="top"/>
          </w:tcPr>
          <w:p w14:paraId="78D302DF">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kern w:val="2"/>
                <w:sz w:val="21"/>
                <w:szCs w:val="21"/>
                <w:highlight w:val="none"/>
                <w:lang w:val="en-US" w:eastAsia="en-US" w:bidi="ar-SA"/>
              </w:rPr>
            </w:pPr>
            <w:r>
              <w:rPr>
                <w:rFonts w:hint="eastAsia" w:ascii="宋体" w:hAnsi="宋体" w:eastAsia="宋体" w:cs="宋体"/>
                <w:spacing w:val="-2"/>
                <w:kern w:val="2"/>
                <w:sz w:val="21"/>
                <w:szCs w:val="21"/>
                <w:highlight w:val="none"/>
                <w:lang w:val="en-US" w:eastAsia="en-US" w:bidi="ar-SA"/>
              </w:rPr>
              <w:t>投标报价</w:t>
            </w:r>
          </w:p>
        </w:tc>
        <w:tc>
          <w:tcPr>
            <w:tcW w:w="6300" w:type="dxa"/>
            <w:vAlign w:val="top"/>
          </w:tcPr>
          <w:p w14:paraId="39A7F44B">
            <w:pPr>
              <w:keepNext w:val="0"/>
              <w:keepLines w:val="0"/>
              <w:pageBreakBefore w:val="0"/>
              <w:widowControl w:val="0"/>
              <w:kinsoku w:val="0"/>
              <w:wordWrap/>
              <w:overflowPunct/>
              <w:topLinePunct w:val="0"/>
              <w:autoSpaceDE w:val="0"/>
              <w:autoSpaceDN w:val="0"/>
              <w:bidi w:val="0"/>
              <w:adjustRightInd w:val="0"/>
              <w:snapToGrid w:val="0"/>
              <w:spacing w:line="320" w:lineRule="exact"/>
              <w:ind w:left="115"/>
              <w:jc w:val="both"/>
              <w:textAlignment w:val="baseline"/>
              <w:rPr>
                <w:rFonts w:hint="eastAsia" w:ascii="宋体" w:hAnsi="宋体" w:eastAsia="宋体" w:cs="宋体"/>
                <w:kern w:val="2"/>
                <w:sz w:val="21"/>
                <w:szCs w:val="21"/>
                <w:highlight w:val="none"/>
                <w:lang w:val="en-US" w:eastAsia="en-US" w:bidi="ar-SA"/>
              </w:rPr>
            </w:pPr>
            <w:r>
              <w:rPr>
                <w:rFonts w:hint="eastAsia" w:ascii="宋体" w:hAnsi="宋体" w:eastAsia="宋体" w:cs="宋体"/>
                <w:spacing w:val="-3"/>
                <w:kern w:val="2"/>
                <w:sz w:val="21"/>
                <w:szCs w:val="21"/>
                <w:highlight w:val="none"/>
                <w:lang w:val="en-US" w:eastAsia="en-US" w:bidi="ar-SA"/>
              </w:rPr>
              <w:t>符合第二章“投标人须知”第3.2款规定</w:t>
            </w:r>
          </w:p>
        </w:tc>
      </w:tr>
      <w:tr w14:paraId="083137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jc w:val="center"/>
        </w:trPr>
        <w:tc>
          <w:tcPr>
            <w:tcW w:w="803" w:type="dxa"/>
            <w:vMerge w:val="continue"/>
            <w:tcBorders>
              <w:top w:val="nil"/>
              <w:bottom w:val="nil"/>
            </w:tcBorders>
            <w:vAlign w:val="top"/>
          </w:tcPr>
          <w:p w14:paraId="199C69EE">
            <w:pPr>
              <w:keepNext w:val="0"/>
              <w:keepLines w:val="0"/>
              <w:pageBreakBefore w:val="0"/>
              <w:widowControl w:val="0"/>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sz w:val="21"/>
                <w:szCs w:val="21"/>
                <w:highlight w:val="none"/>
              </w:rPr>
            </w:pPr>
          </w:p>
        </w:tc>
        <w:tc>
          <w:tcPr>
            <w:tcW w:w="1279" w:type="dxa"/>
            <w:vMerge w:val="continue"/>
            <w:tcBorders>
              <w:top w:val="nil"/>
              <w:bottom w:val="nil"/>
            </w:tcBorders>
            <w:vAlign w:val="top"/>
          </w:tcPr>
          <w:p w14:paraId="16FD855D">
            <w:pPr>
              <w:keepNext w:val="0"/>
              <w:keepLines w:val="0"/>
              <w:pageBreakBefore w:val="0"/>
              <w:widowControl w:val="0"/>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sz w:val="21"/>
                <w:szCs w:val="21"/>
                <w:highlight w:val="none"/>
              </w:rPr>
            </w:pPr>
          </w:p>
        </w:tc>
        <w:tc>
          <w:tcPr>
            <w:tcW w:w="1551" w:type="dxa"/>
            <w:vAlign w:val="top"/>
          </w:tcPr>
          <w:p w14:paraId="77EC1994">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kern w:val="2"/>
                <w:sz w:val="21"/>
                <w:szCs w:val="21"/>
                <w:highlight w:val="none"/>
                <w:lang w:val="en-US" w:eastAsia="en-US" w:bidi="ar-SA"/>
              </w:rPr>
            </w:pPr>
            <w:r>
              <w:rPr>
                <w:rFonts w:hint="eastAsia" w:ascii="宋体" w:hAnsi="宋体" w:eastAsia="宋体" w:cs="宋体"/>
                <w:spacing w:val="-2"/>
                <w:kern w:val="2"/>
                <w:sz w:val="21"/>
                <w:szCs w:val="21"/>
                <w:highlight w:val="none"/>
                <w:lang w:val="en-US" w:eastAsia="en-US" w:bidi="ar-SA"/>
              </w:rPr>
              <w:t>投标内容</w:t>
            </w:r>
          </w:p>
        </w:tc>
        <w:tc>
          <w:tcPr>
            <w:tcW w:w="6300" w:type="dxa"/>
            <w:vAlign w:val="top"/>
          </w:tcPr>
          <w:p w14:paraId="33865808">
            <w:pPr>
              <w:keepNext w:val="0"/>
              <w:keepLines w:val="0"/>
              <w:pageBreakBefore w:val="0"/>
              <w:widowControl w:val="0"/>
              <w:kinsoku w:val="0"/>
              <w:wordWrap/>
              <w:overflowPunct/>
              <w:topLinePunct w:val="0"/>
              <w:autoSpaceDE w:val="0"/>
              <w:autoSpaceDN w:val="0"/>
              <w:bidi w:val="0"/>
              <w:adjustRightInd w:val="0"/>
              <w:snapToGrid w:val="0"/>
              <w:spacing w:line="320" w:lineRule="exact"/>
              <w:ind w:left="115"/>
              <w:jc w:val="both"/>
              <w:textAlignment w:val="baseline"/>
              <w:rPr>
                <w:rFonts w:hint="eastAsia" w:ascii="宋体" w:hAnsi="宋体" w:eastAsia="宋体" w:cs="宋体"/>
                <w:kern w:val="2"/>
                <w:sz w:val="21"/>
                <w:szCs w:val="21"/>
                <w:highlight w:val="none"/>
                <w:lang w:val="en-US" w:eastAsia="en-US" w:bidi="ar-SA"/>
              </w:rPr>
            </w:pPr>
            <w:r>
              <w:rPr>
                <w:rFonts w:hint="eastAsia" w:ascii="宋体" w:hAnsi="宋体" w:eastAsia="宋体" w:cs="宋体"/>
                <w:spacing w:val="-4"/>
                <w:kern w:val="2"/>
                <w:sz w:val="21"/>
                <w:szCs w:val="21"/>
                <w:highlight w:val="none"/>
                <w:lang w:val="en-US" w:eastAsia="en-US" w:bidi="ar-SA"/>
              </w:rPr>
              <w:t>符合第二章“投标人须知”第1.3.1项规定</w:t>
            </w:r>
          </w:p>
        </w:tc>
      </w:tr>
      <w:tr w14:paraId="0F58CC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jc w:val="center"/>
        </w:trPr>
        <w:tc>
          <w:tcPr>
            <w:tcW w:w="803" w:type="dxa"/>
            <w:vMerge w:val="continue"/>
            <w:tcBorders>
              <w:top w:val="nil"/>
              <w:bottom w:val="nil"/>
            </w:tcBorders>
            <w:vAlign w:val="top"/>
          </w:tcPr>
          <w:p w14:paraId="758F4634">
            <w:pPr>
              <w:keepNext w:val="0"/>
              <w:keepLines w:val="0"/>
              <w:pageBreakBefore w:val="0"/>
              <w:widowControl w:val="0"/>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sz w:val="21"/>
                <w:szCs w:val="21"/>
                <w:highlight w:val="none"/>
              </w:rPr>
            </w:pPr>
          </w:p>
        </w:tc>
        <w:tc>
          <w:tcPr>
            <w:tcW w:w="1279" w:type="dxa"/>
            <w:vMerge w:val="continue"/>
            <w:tcBorders>
              <w:top w:val="nil"/>
              <w:bottom w:val="nil"/>
            </w:tcBorders>
            <w:vAlign w:val="top"/>
          </w:tcPr>
          <w:p w14:paraId="385965F7">
            <w:pPr>
              <w:keepNext w:val="0"/>
              <w:keepLines w:val="0"/>
              <w:pageBreakBefore w:val="0"/>
              <w:widowControl w:val="0"/>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sz w:val="21"/>
                <w:szCs w:val="21"/>
                <w:highlight w:val="none"/>
              </w:rPr>
            </w:pPr>
          </w:p>
        </w:tc>
        <w:tc>
          <w:tcPr>
            <w:tcW w:w="1551" w:type="dxa"/>
            <w:vAlign w:val="top"/>
          </w:tcPr>
          <w:p w14:paraId="05AE807B">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kern w:val="2"/>
                <w:sz w:val="21"/>
                <w:szCs w:val="21"/>
                <w:highlight w:val="none"/>
                <w:lang w:val="en-US" w:eastAsia="en-US" w:bidi="ar-SA"/>
              </w:rPr>
            </w:pPr>
            <w:r>
              <w:rPr>
                <w:rFonts w:hint="eastAsia" w:ascii="宋体" w:hAnsi="宋体" w:eastAsia="宋体" w:cs="宋体"/>
                <w:spacing w:val="-3"/>
                <w:kern w:val="2"/>
                <w:sz w:val="21"/>
                <w:szCs w:val="21"/>
                <w:highlight w:val="none"/>
                <w:lang w:val="en-US" w:eastAsia="en-US" w:bidi="ar-SA"/>
              </w:rPr>
              <w:t>交货期</w:t>
            </w:r>
          </w:p>
        </w:tc>
        <w:tc>
          <w:tcPr>
            <w:tcW w:w="6300" w:type="dxa"/>
            <w:vAlign w:val="top"/>
          </w:tcPr>
          <w:p w14:paraId="4E2BE22C">
            <w:pPr>
              <w:keepNext w:val="0"/>
              <w:keepLines w:val="0"/>
              <w:pageBreakBefore w:val="0"/>
              <w:widowControl w:val="0"/>
              <w:kinsoku w:val="0"/>
              <w:wordWrap/>
              <w:overflowPunct/>
              <w:topLinePunct w:val="0"/>
              <w:autoSpaceDE w:val="0"/>
              <w:autoSpaceDN w:val="0"/>
              <w:bidi w:val="0"/>
              <w:adjustRightInd w:val="0"/>
              <w:snapToGrid w:val="0"/>
              <w:spacing w:line="320" w:lineRule="exact"/>
              <w:ind w:left="115"/>
              <w:jc w:val="both"/>
              <w:textAlignment w:val="baseline"/>
              <w:rPr>
                <w:rFonts w:hint="eastAsia" w:ascii="宋体" w:hAnsi="宋体" w:eastAsia="宋体" w:cs="宋体"/>
                <w:kern w:val="2"/>
                <w:sz w:val="21"/>
                <w:szCs w:val="21"/>
                <w:highlight w:val="none"/>
                <w:lang w:val="en-US" w:eastAsia="en-US" w:bidi="ar-SA"/>
              </w:rPr>
            </w:pPr>
            <w:r>
              <w:rPr>
                <w:rFonts w:hint="eastAsia" w:ascii="宋体" w:hAnsi="宋体" w:eastAsia="宋体" w:cs="宋体"/>
                <w:spacing w:val="-4"/>
                <w:kern w:val="2"/>
                <w:sz w:val="21"/>
                <w:szCs w:val="21"/>
                <w:highlight w:val="none"/>
                <w:lang w:val="en-US" w:eastAsia="en-US" w:bidi="ar-SA"/>
              </w:rPr>
              <w:t>符合第二章“投标人须知”第1.3.2项规定</w:t>
            </w:r>
          </w:p>
        </w:tc>
      </w:tr>
      <w:tr w14:paraId="4BEF02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jc w:val="center"/>
        </w:trPr>
        <w:tc>
          <w:tcPr>
            <w:tcW w:w="803" w:type="dxa"/>
            <w:vMerge w:val="continue"/>
            <w:tcBorders>
              <w:top w:val="nil"/>
              <w:bottom w:val="nil"/>
            </w:tcBorders>
            <w:vAlign w:val="top"/>
          </w:tcPr>
          <w:p w14:paraId="5947609F">
            <w:pPr>
              <w:keepNext w:val="0"/>
              <w:keepLines w:val="0"/>
              <w:pageBreakBefore w:val="0"/>
              <w:widowControl w:val="0"/>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sz w:val="21"/>
                <w:szCs w:val="21"/>
                <w:highlight w:val="none"/>
              </w:rPr>
            </w:pPr>
          </w:p>
        </w:tc>
        <w:tc>
          <w:tcPr>
            <w:tcW w:w="1279" w:type="dxa"/>
            <w:vMerge w:val="continue"/>
            <w:tcBorders>
              <w:top w:val="nil"/>
              <w:bottom w:val="nil"/>
            </w:tcBorders>
            <w:vAlign w:val="top"/>
          </w:tcPr>
          <w:p w14:paraId="07BFE71B">
            <w:pPr>
              <w:keepNext w:val="0"/>
              <w:keepLines w:val="0"/>
              <w:pageBreakBefore w:val="0"/>
              <w:widowControl w:val="0"/>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sz w:val="21"/>
                <w:szCs w:val="21"/>
                <w:highlight w:val="none"/>
              </w:rPr>
            </w:pPr>
          </w:p>
        </w:tc>
        <w:tc>
          <w:tcPr>
            <w:tcW w:w="1551" w:type="dxa"/>
            <w:vAlign w:val="top"/>
          </w:tcPr>
          <w:p w14:paraId="6A24349B">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kern w:val="2"/>
                <w:sz w:val="21"/>
                <w:szCs w:val="21"/>
                <w:highlight w:val="none"/>
                <w:lang w:val="en-US" w:eastAsia="en-US" w:bidi="ar-SA"/>
              </w:rPr>
            </w:pPr>
            <w:r>
              <w:rPr>
                <w:rFonts w:hint="eastAsia" w:ascii="宋体" w:hAnsi="宋体" w:eastAsia="宋体" w:cs="宋体"/>
                <w:spacing w:val="-2"/>
                <w:kern w:val="2"/>
                <w:sz w:val="21"/>
                <w:szCs w:val="21"/>
                <w:highlight w:val="none"/>
                <w:lang w:val="en-US" w:eastAsia="en-US" w:bidi="ar-SA"/>
              </w:rPr>
              <w:t>交货地点</w:t>
            </w:r>
          </w:p>
        </w:tc>
        <w:tc>
          <w:tcPr>
            <w:tcW w:w="6300" w:type="dxa"/>
            <w:vAlign w:val="top"/>
          </w:tcPr>
          <w:p w14:paraId="759775BA">
            <w:pPr>
              <w:keepNext w:val="0"/>
              <w:keepLines w:val="0"/>
              <w:pageBreakBefore w:val="0"/>
              <w:widowControl w:val="0"/>
              <w:kinsoku w:val="0"/>
              <w:wordWrap/>
              <w:overflowPunct/>
              <w:topLinePunct w:val="0"/>
              <w:autoSpaceDE w:val="0"/>
              <w:autoSpaceDN w:val="0"/>
              <w:bidi w:val="0"/>
              <w:adjustRightInd w:val="0"/>
              <w:snapToGrid w:val="0"/>
              <w:spacing w:line="320" w:lineRule="exact"/>
              <w:ind w:left="115"/>
              <w:jc w:val="both"/>
              <w:textAlignment w:val="baseline"/>
              <w:rPr>
                <w:rFonts w:hint="eastAsia" w:ascii="宋体" w:hAnsi="宋体" w:eastAsia="宋体" w:cs="宋体"/>
                <w:kern w:val="2"/>
                <w:sz w:val="21"/>
                <w:szCs w:val="21"/>
                <w:highlight w:val="none"/>
                <w:lang w:val="en-US" w:eastAsia="en-US" w:bidi="ar-SA"/>
              </w:rPr>
            </w:pPr>
            <w:r>
              <w:rPr>
                <w:rFonts w:hint="eastAsia" w:ascii="宋体" w:hAnsi="宋体" w:eastAsia="宋体" w:cs="宋体"/>
                <w:spacing w:val="-4"/>
                <w:kern w:val="2"/>
                <w:sz w:val="21"/>
                <w:szCs w:val="21"/>
                <w:highlight w:val="none"/>
                <w:lang w:val="en-US" w:eastAsia="en-US" w:bidi="ar-SA"/>
              </w:rPr>
              <w:t>符合第二章“投标人须知”第1.3.3项规定</w:t>
            </w:r>
          </w:p>
        </w:tc>
      </w:tr>
      <w:tr w14:paraId="45BD26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jc w:val="center"/>
        </w:trPr>
        <w:tc>
          <w:tcPr>
            <w:tcW w:w="803" w:type="dxa"/>
            <w:vMerge w:val="continue"/>
            <w:tcBorders>
              <w:top w:val="nil"/>
              <w:bottom w:val="nil"/>
            </w:tcBorders>
            <w:vAlign w:val="top"/>
          </w:tcPr>
          <w:p w14:paraId="3F120310">
            <w:pPr>
              <w:keepNext w:val="0"/>
              <w:keepLines w:val="0"/>
              <w:pageBreakBefore w:val="0"/>
              <w:widowControl w:val="0"/>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sz w:val="21"/>
                <w:szCs w:val="21"/>
                <w:highlight w:val="none"/>
              </w:rPr>
            </w:pPr>
          </w:p>
        </w:tc>
        <w:tc>
          <w:tcPr>
            <w:tcW w:w="1279" w:type="dxa"/>
            <w:vMerge w:val="continue"/>
            <w:tcBorders>
              <w:top w:val="nil"/>
              <w:bottom w:val="nil"/>
            </w:tcBorders>
            <w:vAlign w:val="top"/>
          </w:tcPr>
          <w:p w14:paraId="0807665B">
            <w:pPr>
              <w:keepNext w:val="0"/>
              <w:keepLines w:val="0"/>
              <w:pageBreakBefore w:val="0"/>
              <w:widowControl w:val="0"/>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sz w:val="21"/>
                <w:szCs w:val="21"/>
                <w:highlight w:val="none"/>
              </w:rPr>
            </w:pPr>
          </w:p>
        </w:tc>
        <w:tc>
          <w:tcPr>
            <w:tcW w:w="1551" w:type="dxa"/>
            <w:vAlign w:val="top"/>
          </w:tcPr>
          <w:p w14:paraId="2C730648">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default" w:ascii="宋体" w:hAnsi="宋体" w:eastAsia="宋体" w:cs="宋体"/>
                <w:kern w:val="2"/>
                <w:sz w:val="21"/>
                <w:szCs w:val="21"/>
                <w:highlight w:val="none"/>
                <w:lang w:val="en-US" w:eastAsia="zh-CN" w:bidi="ar-SA"/>
              </w:rPr>
            </w:pPr>
            <w:r>
              <w:rPr>
                <w:rFonts w:hint="eastAsia" w:ascii="宋体" w:hAnsi="宋体" w:eastAsia="宋体" w:cs="宋体"/>
                <w:spacing w:val="-2"/>
                <w:kern w:val="2"/>
                <w:sz w:val="21"/>
                <w:szCs w:val="21"/>
                <w:highlight w:val="none"/>
                <w:lang w:val="en-US" w:eastAsia="zh-CN" w:bidi="ar-SA"/>
              </w:rPr>
              <w:t>质量要求</w:t>
            </w:r>
          </w:p>
        </w:tc>
        <w:tc>
          <w:tcPr>
            <w:tcW w:w="6300" w:type="dxa"/>
            <w:vAlign w:val="top"/>
          </w:tcPr>
          <w:p w14:paraId="3994DEC2">
            <w:pPr>
              <w:keepNext w:val="0"/>
              <w:keepLines w:val="0"/>
              <w:pageBreakBefore w:val="0"/>
              <w:widowControl w:val="0"/>
              <w:kinsoku w:val="0"/>
              <w:wordWrap/>
              <w:overflowPunct/>
              <w:topLinePunct w:val="0"/>
              <w:autoSpaceDE w:val="0"/>
              <w:autoSpaceDN w:val="0"/>
              <w:bidi w:val="0"/>
              <w:adjustRightInd w:val="0"/>
              <w:snapToGrid w:val="0"/>
              <w:spacing w:line="320" w:lineRule="exact"/>
              <w:ind w:left="115"/>
              <w:jc w:val="both"/>
              <w:textAlignment w:val="baseline"/>
              <w:rPr>
                <w:rFonts w:hint="eastAsia" w:ascii="宋体" w:hAnsi="宋体" w:eastAsia="宋体" w:cs="宋体"/>
                <w:kern w:val="2"/>
                <w:sz w:val="21"/>
                <w:szCs w:val="21"/>
                <w:highlight w:val="none"/>
                <w:lang w:val="en-US" w:eastAsia="en-US" w:bidi="ar-SA"/>
              </w:rPr>
            </w:pPr>
            <w:r>
              <w:rPr>
                <w:rFonts w:hint="eastAsia" w:ascii="宋体" w:hAnsi="宋体" w:eastAsia="宋体" w:cs="宋体"/>
                <w:spacing w:val="-4"/>
                <w:kern w:val="2"/>
                <w:sz w:val="21"/>
                <w:szCs w:val="21"/>
                <w:highlight w:val="none"/>
                <w:lang w:val="en-US" w:eastAsia="en-US" w:bidi="ar-SA"/>
              </w:rPr>
              <w:t>符合第二章“投标人须知”第1.3.4项规定</w:t>
            </w:r>
          </w:p>
        </w:tc>
      </w:tr>
      <w:tr w14:paraId="54BB53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jc w:val="center"/>
        </w:trPr>
        <w:tc>
          <w:tcPr>
            <w:tcW w:w="803" w:type="dxa"/>
            <w:vMerge w:val="continue"/>
            <w:tcBorders>
              <w:top w:val="nil"/>
              <w:bottom w:val="nil"/>
            </w:tcBorders>
            <w:vAlign w:val="top"/>
          </w:tcPr>
          <w:p w14:paraId="23788479">
            <w:pPr>
              <w:keepNext w:val="0"/>
              <w:keepLines w:val="0"/>
              <w:pageBreakBefore w:val="0"/>
              <w:widowControl w:val="0"/>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sz w:val="21"/>
                <w:szCs w:val="21"/>
                <w:highlight w:val="none"/>
              </w:rPr>
            </w:pPr>
          </w:p>
        </w:tc>
        <w:tc>
          <w:tcPr>
            <w:tcW w:w="1279" w:type="dxa"/>
            <w:vMerge w:val="continue"/>
            <w:tcBorders>
              <w:top w:val="nil"/>
              <w:bottom w:val="nil"/>
            </w:tcBorders>
            <w:vAlign w:val="top"/>
          </w:tcPr>
          <w:p w14:paraId="23FCFA5C">
            <w:pPr>
              <w:keepNext w:val="0"/>
              <w:keepLines w:val="0"/>
              <w:pageBreakBefore w:val="0"/>
              <w:widowControl w:val="0"/>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sz w:val="21"/>
                <w:szCs w:val="21"/>
                <w:highlight w:val="none"/>
              </w:rPr>
            </w:pPr>
          </w:p>
        </w:tc>
        <w:tc>
          <w:tcPr>
            <w:tcW w:w="1551" w:type="dxa"/>
            <w:vAlign w:val="top"/>
          </w:tcPr>
          <w:p w14:paraId="75A7CAC9">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kern w:val="2"/>
                <w:sz w:val="21"/>
                <w:szCs w:val="21"/>
                <w:highlight w:val="none"/>
                <w:lang w:val="en-US" w:eastAsia="en-US" w:bidi="ar-SA"/>
              </w:rPr>
            </w:pPr>
            <w:r>
              <w:rPr>
                <w:rFonts w:hint="eastAsia" w:ascii="宋体" w:hAnsi="宋体" w:eastAsia="宋体" w:cs="宋体"/>
                <w:spacing w:val="-2"/>
                <w:kern w:val="2"/>
                <w:sz w:val="21"/>
                <w:szCs w:val="21"/>
                <w:highlight w:val="none"/>
                <w:lang w:val="en-US" w:eastAsia="en-US" w:bidi="ar-SA"/>
              </w:rPr>
              <w:t>投标有效期</w:t>
            </w:r>
          </w:p>
        </w:tc>
        <w:tc>
          <w:tcPr>
            <w:tcW w:w="6300" w:type="dxa"/>
            <w:vAlign w:val="top"/>
          </w:tcPr>
          <w:p w14:paraId="3405E5C3">
            <w:pPr>
              <w:keepNext w:val="0"/>
              <w:keepLines w:val="0"/>
              <w:pageBreakBefore w:val="0"/>
              <w:widowControl w:val="0"/>
              <w:kinsoku w:val="0"/>
              <w:wordWrap/>
              <w:overflowPunct/>
              <w:topLinePunct w:val="0"/>
              <w:autoSpaceDE w:val="0"/>
              <w:autoSpaceDN w:val="0"/>
              <w:bidi w:val="0"/>
              <w:adjustRightInd w:val="0"/>
              <w:snapToGrid w:val="0"/>
              <w:spacing w:line="320" w:lineRule="exact"/>
              <w:ind w:left="115"/>
              <w:jc w:val="both"/>
              <w:textAlignment w:val="baseline"/>
              <w:rPr>
                <w:rFonts w:hint="eastAsia" w:ascii="宋体" w:hAnsi="宋体" w:eastAsia="宋体" w:cs="宋体"/>
                <w:kern w:val="2"/>
                <w:sz w:val="21"/>
                <w:szCs w:val="21"/>
                <w:highlight w:val="none"/>
                <w:lang w:val="en-US" w:eastAsia="en-US" w:bidi="ar-SA"/>
              </w:rPr>
            </w:pPr>
            <w:r>
              <w:rPr>
                <w:rFonts w:hint="eastAsia" w:ascii="宋体" w:hAnsi="宋体" w:eastAsia="宋体" w:cs="宋体"/>
                <w:spacing w:val="-3"/>
                <w:kern w:val="2"/>
                <w:sz w:val="21"/>
                <w:szCs w:val="21"/>
                <w:highlight w:val="none"/>
                <w:lang w:val="en-US" w:eastAsia="en-US" w:bidi="ar-SA"/>
              </w:rPr>
              <w:t>符合第二章“投标人须知”第3.3.1项规定</w:t>
            </w:r>
          </w:p>
        </w:tc>
      </w:tr>
      <w:tr w14:paraId="483CD0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jc w:val="center"/>
        </w:trPr>
        <w:tc>
          <w:tcPr>
            <w:tcW w:w="803" w:type="dxa"/>
            <w:vMerge w:val="continue"/>
            <w:tcBorders>
              <w:top w:val="nil"/>
              <w:bottom w:val="nil"/>
            </w:tcBorders>
            <w:vAlign w:val="top"/>
          </w:tcPr>
          <w:p w14:paraId="67F13870">
            <w:pPr>
              <w:keepNext w:val="0"/>
              <w:keepLines w:val="0"/>
              <w:pageBreakBefore w:val="0"/>
              <w:widowControl w:val="0"/>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sz w:val="21"/>
                <w:szCs w:val="21"/>
                <w:highlight w:val="none"/>
              </w:rPr>
            </w:pPr>
          </w:p>
        </w:tc>
        <w:tc>
          <w:tcPr>
            <w:tcW w:w="1279" w:type="dxa"/>
            <w:vMerge w:val="continue"/>
            <w:tcBorders>
              <w:top w:val="nil"/>
              <w:bottom w:val="nil"/>
            </w:tcBorders>
            <w:vAlign w:val="top"/>
          </w:tcPr>
          <w:p w14:paraId="4CE6896E">
            <w:pPr>
              <w:keepNext w:val="0"/>
              <w:keepLines w:val="0"/>
              <w:pageBreakBefore w:val="0"/>
              <w:widowControl w:val="0"/>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sz w:val="21"/>
                <w:szCs w:val="21"/>
                <w:highlight w:val="none"/>
              </w:rPr>
            </w:pPr>
          </w:p>
        </w:tc>
        <w:tc>
          <w:tcPr>
            <w:tcW w:w="1551" w:type="dxa"/>
            <w:vAlign w:val="top"/>
          </w:tcPr>
          <w:p w14:paraId="4EDEA0A8">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kern w:val="2"/>
                <w:sz w:val="21"/>
                <w:szCs w:val="21"/>
                <w:highlight w:val="none"/>
                <w:lang w:val="en-US" w:eastAsia="en-US" w:bidi="ar-SA"/>
              </w:rPr>
            </w:pPr>
            <w:r>
              <w:rPr>
                <w:rFonts w:hint="eastAsia" w:ascii="宋体" w:hAnsi="宋体" w:eastAsia="宋体" w:cs="宋体"/>
                <w:spacing w:val="-2"/>
                <w:kern w:val="2"/>
                <w:sz w:val="21"/>
                <w:szCs w:val="21"/>
                <w:highlight w:val="none"/>
                <w:lang w:val="en-US" w:eastAsia="en-US" w:bidi="ar-SA"/>
              </w:rPr>
              <w:t>投标保证金</w:t>
            </w:r>
          </w:p>
        </w:tc>
        <w:tc>
          <w:tcPr>
            <w:tcW w:w="6300" w:type="dxa"/>
            <w:vAlign w:val="top"/>
          </w:tcPr>
          <w:p w14:paraId="27E4A3C0">
            <w:pPr>
              <w:keepNext w:val="0"/>
              <w:keepLines w:val="0"/>
              <w:pageBreakBefore w:val="0"/>
              <w:widowControl w:val="0"/>
              <w:kinsoku w:val="0"/>
              <w:wordWrap/>
              <w:overflowPunct/>
              <w:topLinePunct w:val="0"/>
              <w:autoSpaceDE w:val="0"/>
              <w:autoSpaceDN w:val="0"/>
              <w:bidi w:val="0"/>
              <w:adjustRightInd w:val="0"/>
              <w:snapToGrid w:val="0"/>
              <w:spacing w:line="320" w:lineRule="exact"/>
              <w:ind w:left="115"/>
              <w:jc w:val="both"/>
              <w:textAlignment w:val="baseline"/>
              <w:rPr>
                <w:rFonts w:hint="eastAsia" w:ascii="宋体" w:hAnsi="宋体" w:eastAsia="宋体" w:cs="宋体"/>
                <w:kern w:val="2"/>
                <w:sz w:val="21"/>
                <w:szCs w:val="21"/>
                <w:highlight w:val="none"/>
                <w:lang w:val="en-US" w:eastAsia="en-US" w:bidi="ar-SA"/>
              </w:rPr>
            </w:pPr>
            <w:r>
              <w:rPr>
                <w:rFonts w:hint="eastAsia" w:ascii="宋体" w:hAnsi="宋体" w:eastAsia="宋体" w:cs="宋体"/>
                <w:spacing w:val="-3"/>
                <w:kern w:val="2"/>
                <w:sz w:val="21"/>
                <w:szCs w:val="21"/>
                <w:highlight w:val="none"/>
                <w:lang w:val="en-US" w:eastAsia="en-US" w:bidi="ar-SA"/>
              </w:rPr>
              <w:t>符合第二章“投标人须知”第3.4.1项规定</w:t>
            </w:r>
          </w:p>
        </w:tc>
      </w:tr>
      <w:tr w14:paraId="7910BB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jc w:val="center"/>
        </w:trPr>
        <w:tc>
          <w:tcPr>
            <w:tcW w:w="803" w:type="dxa"/>
            <w:vMerge w:val="continue"/>
            <w:tcBorders>
              <w:top w:val="nil"/>
            </w:tcBorders>
            <w:vAlign w:val="top"/>
          </w:tcPr>
          <w:p w14:paraId="022B6DEC">
            <w:pPr>
              <w:keepNext w:val="0"/>
              <w:keepLines w:val="0"/>
              <w:pageBreakBefore w:val="0"/>
              <w:widowControl w:val="0"/>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sz w:val="21"/>
                <w:szCs w:val="21"/>
                <w:highlight w:val="none"/>
              </w:rPr>
            </w:pPr>
          </w:p>
        </w:tc>
        <w:tc>
          <w:tcPr>
            <w:tcW w:w="1279" w:type="dxa"/>
            <w:vMerge w:val="continue"/>
            <w:tcBorders>
              <w:top w:val="nil"/>
            </w:tcBorders>
            <w:vAlign w:val="top"/>
          </w:tcPr>
          <w:p w14:paraId="0E648E1A">
            <w:pPr>
              <w:keepNext w:val="0"/>
              <w:keepLines w:val="0"/>
              <w:pageBreakBefore w:val="0"/>
              <w:widowControl w:val="0"/>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sz w:val="21"/>
                <w:szCs w:val="21"/>
                <w:highlight w:val="none"/>
              </w:rPr>
            </w:pPr>
          </w:p>
        </w:tc>
        <w:tc>
          <w:tcPr>
            <w:tcW w:w="1551" w:type="dxa"/>
            <w:tcBorders>
              <w:bottom w:val="single" w:color="auto" w:sz="4" w:space="0"/>
            </w:tcBorders>
            <w:vAlign w:val="center"/>
          </w:tcPr>
          <w:p w14:paraId="22D1F3B2">
            <w:pPr>
              <w:keepNext w:val="0"/>
              <w:keepLines w:val="0"/>
              <w:pageBreakBefore w:val="0"/>
              <w:widowControl w:val="0"/>
              <w:kinsoku w:val="0"/>
              <w:wordWrap/>
              <w:overflowPunct/>
              <w:topLinePunct w:val="0"/>
              <w:autoSpaceDE w:val="0"/>
              <w:autoSpaceDN w:val="0"/>
              <w:bidi w:val="0"/>
              <w:adjustRightInd w:val="0"/>
              <w:snapToGrid w:val="0"/>
              <w:spacing w:line="320" w:lineRule="exact"/>
              <w:jc w:val="center"/>
              <w:textAlignment w:val="baseline"/>
              <w:rPr>
                <w:rFonts w:hint="eastAsia" w:ascii="宋体" w:hAnsi="宋体" w:eastAsia="宋体" w:cs="宋体"/>
                <w:kern w:val="2"/>
                <w:sz w:val="21"/>
                <w:szCs w:val="21"/>
                <w:highlight w:val="none"/>
                <w:lang w:val="en-US" w:eastAsia="en-US" w:bidi="ar-SA"/>
              </w:rPr>
            </w:pPr>
            <w:r>
              <w:rPr>
                <w:rFonts w:hint="eastAsia" w:ascii="宋体" w:hAnsi="宋体" w:eastAsia="宋体" w:cs="宋体"/>
                <w:spacing w:val="-1"/>
                <w:kern w:val="2"/>
                <w:sz w:val="21"/>
                <w:szCs w:val="21"/>
                <w:highlight w:val="none"/>
                <w:lang w:val="en-US" w:eastAsia="en-US" w:bidi="ar-SA"/>
              </w:rPr>
              <w:t>权利义务</w:t>
            </w:r>
          </w:p>
        </w:tc>
        <w:tc>
          <w:tcPr>
            <w:tcW w:w="6300" w:type="dxa"/>
            <w:tcBorders>
              <w:bottom w:val="single" w:color="auto" w:sz="4" w:space="0"/>
            </w:tcBorders>
            <w:vAlign w:val="center"/>
          </w:tcPr>
          <w:p w14:paraId="29B29040">
            <w:pPr>
              <w:keepNext w:val="0"/>
              <w:keepLines w:val="0"/>
              <w:pageBreakBefore w:val="0"/>
              <w:widowControl w:val="0"/>
              <w:kinsoku w:val="0"/>
              <w:wordWrap/>
              <w:overflowPunct/>
              <w:topLinePunct w:val="0"/>
              <w:autoSpaceDE w:val="0"/>
              <w:autoSpaceDN w:val="0"/>
              <w:bidi w:val="0"/>
              <w:adjustRightInd w:val="0"/>
              <w:snapToGrid w:val="0"/>
              <w:spacing w:line="320" w:lineRule="exact"/>
              <w:ind w:left="114" w:right="170"/>
              <w:jc w:val="both"/>
              <w:textAlignment w:val="baseline"/>
              <w:rPr>
                <w:rFonts w:hint="eastAsia" w:ascii="宋体" w:hAnsi="宋体" w:eastAsia="宋体" w:cs="宋体"/>
                <w:kern w:val="2"/>
                <w:sz w:val="21"/>
                <w:szCs w:val="21"/>
                <w:highlight w:val="none"/>
                <w:lang w:val="en-US" w:eastAsia="en-US" w:bidi="ar-SA"/>
              </w:rPr>
            </w:pPr>
            <w:r>
              <w:rPr>
                <w:rFonts w:hint="eastAsia" w:ascii="宋体" w:hAnsi="宋体" w:eastAsia="宋体" w:cs="宋体"/>
                <w:spacing w:val="-4"/>
                <w:kern w:val="2"/>
                <w:sz w:val="21"/>
                <w:szCs w:val="21"/>
                <w:highlight w:val="none"/>
                <w:lang w:val="en-US" w:eastAsia="en-US" w:bidi="ar-SA"/>
              </w:rPr>
              <w:t>符合第二章“投标人须知”第1.11.1项规定</w:t>
            </w:r>
          </w:p>
        </w:tc>
      </w:tr>
      <w:tr w14:paraId="2E93B9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2" w:hRule="atLeast"/>
          <w:jc w:val="center"/>
        </w:trPr>
        <w:tc>
          <w:tcPr>
            <w:tcW w:w="803" w:type="dxa"/>
            <w:vMerge w:val="continue"/>
            <w:vAlign w:val="top"/>
          </w:tcPr>
          <w:p w14:paraId="07F9C45A">
            <w:pPr>
              <w:keepNext w:val="0"/>
              <w:keepLines w:val="0"/>
              <w:pageBreakBefore w:val="0"/>
              <w:widowControl w:val="0"/>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sz w:val="21"/>
                <w:szCs w:val="21"/>
                <w:highlight w:val="none"/>
              </w:rPr>
            </w:pPr>
          </w:p>
        </w:tc>
        <w:tc>
          <w:tcPr>
            <w:tcW w:w="1279" w:type="dxa"/>
            <w:vMerge w:val="continue"/>
            <w:vAlign w:val="top"/>
          </w:tcPr>
          <w:p w14:paraId="05C3EF20">
            <w:pPr>
              <w:keepNext w:val="0"/>
              <w:keepLines w:val="0"/>
              <w:pageBreakBefore w:val="0"/>
              <w:widowControl w:val="0"/>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sz w:val="21"/>
                <w:szCs w:val="21"/>
                <w:highlight w:val="none"/>
              </w:rPr>
            </w:pPr>
          </w:p>
        </w:tc>
        <w:tc>
          <w:tcPr>
            <w:tcW w:w="1551" w:type="dxa"/>
            <w:tcBorders>
              <w:top w:val="single" w:color="auto" w:sz="4" w:space="0"/>
              <w:bottom w:val="single" w:color="auto" w:sz="4" w:space="0"/>
            </w:tcBorders>
            <w:vAlign w:val="center"/>
          </w:tcPr>
          <w:p w14:paraId="10B79144">
            <w:pPr>
              <w:keepNext w:val="0"/>
              <w:keepLines w:val="0"/>
              <w:pageBreakBefore w:val="0"/>
              <w:widowControl w:val="0"/>
              <w:wordWrap/>
              <w:overflowPunct/>
              <w:topLinePunct w:val="0"/>
              <w:bidi w:val="0"/>
              <w:spacing w:before="38" w:line="223" w:lineRule="auto"/>
              <w:ind w:right="135" w:rightChars="0"/>
              <w:jc w:val="center"/>
              <w:rPr>
                <w:rFonts w:hint="eastAsia" w:ascii="宋体" w:hAnsi="宋体" w:eastAsia="宋体" w:cs="宋体"/>
                <w:spacing w:val="-1"/>
                <w:kern w:val="2"/>
                <w:sz w:val="21"/>
                <w:szCs w:val="21"/>
                <w:highlight w:val="none"/>
                <w:lang w:val="en-US" w:eastAsia="en-US" w:bidi="ar-SA"/>
              </w:rPr>
            </w:pPr>
            <w:r>
              <w:rPr>
                <w:rFonts w:ascii="宋体" w:hAnsi="宋体" w:eastAsia="宋体" w:cs="宋体"/>
                <w:spacing w:val="-1"/>
                <w:kern w:val="2"/>
                <w:sz w:val="21"/>
                <w:szCs w:val="21"/>
                <w:highlight w:val="none"/>
                <w:lang w:val="en-US" w:eastAsia="en-US" w:bidi="ar-SA"/>
              </w:rPr>
              <w:t>投标设备及技术服务和</w:t>
            </w:r>
            <w:r>
              <w:rPr>
                <w:rFonts w:ascii="宋体" w:hAnsi="宋体" w:eastAsia="宋体" w:cs="宋体"/>
                <w:spacing w:val="-2"/>
                <w:kern w:val="2"/>
                <w:sz w:val="21"/>
                <w:szCs w:val="21"/>
                <w:highlight w:val="none"/>
                <w:lang w:val="en-US" w:eastAsia="en-US" w:bidi="ar-SA"/>
              </w:rPr>
              <w:t>质保期服务</w:t>
            </w:r>
          </w:p>
        </w:tc>
        <w:tc>
          <w:tcPr>
            <w:tcW w:w="6300" w:type="dxa"/>
            <w:tcBorders>
              <w:top w:val="single" w:color="auto" w:sz="4" w:space="0"/>
              <w:bottom w:val="single" w:color="auto" w:sz="4" w:space="0"/>
            </w:tcBorders>
            <w:vAlign w:val="center"/>
          </w:tcPr>
          <w:p w14:paraId="3F8C0F88">
            <w:pPr>
              <w:keepNext w:val="0"/>
              <w:keepLines w:val="0"/>
              <w:pageBreakBefore w:val="0"/>
              <w:widowControl w:val="0"/>
              <w:wordWrap/>
              <w:overflowPunct/>
              <w:topLinePunct w:val="0"/>
              <w:bidi w:val="0"/>
              <w:spacing w:before="38" w:line="223" w:lineRule="auto"/>
              <w:ind w:left="113" w:leftChars="0" w:right="170" w:rightChars="0" w:firstLine="2" w:firstLineChars="0"/>
              <w:jc w:val="left"/>
              <w:rPr>
                <w:rFonts w:hint="eastAsia" w:ascii="宋体" w:hAnsi="宋体" w:eastAsia="宋体" w:cs="宋体"/>
                <w:spacing w:val="-4"/>
                <w:kern w:val="2"/>
                <w:sz w:val="21"/>
                <w:szCs w:val="21"/>
                <w:highlight w:val="none"/>
                <w:lang w:val="en-US" w:eastAsia="en-US" w:bidi="ar-SA"/>
              </w:rPr>
            </w:pPr>
            <w:r>
              <w:rPr>
                <w:rFonts w:ascii="宋体" w:hAnsi="宋体" w:eastAsia="宋体" w:cs="宋体"/>
                <w:spacing w:val="-1"/>
                <w:kern w:val="2"/>
                <w:sz w:val="21"/>
                <w:szCs w:val="21"/>
                <w:highlight w:val="none"/>
                <w:lang w:val="en-US" w:eastAsia="en-US" w:bidi="ar-SA"/>
              </w:rPr>
              <w:t>符合第五章“供货要求”中的实质性要求和条</w:t>
            </w:r>
            <w:r>
              <w:rPr>
                <w:rFonts w:ascii="宋体" w:hAnsi="宋体" w:eastAsia="宋体" w:cs="宋体"/>
                <w:kern w:val="2"/>
                <w:sz w:val="21"/>
                <w:szCs w:val="21"/>
                <w:highlight w:val="none"/>
                <w:lang w:val="en-US" w:eastAsia="en-US" w:bidi="ar-SA"/>
              </w:rPr>
              <w:t>件</w:t>
            </w:r>
          </w:p>
        </w:tc>
      </w:tr>
      <w:tr w14:paraId="613884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jc w:val="center"/>
        </w:trPr>
        <w:tc>
          <w:tcPr>
            <w:tcW w:w="803" w:type="dxa"/>
            <w:vMerge w:val="continue"/>
            <w:vAlign w:val="top"/>
          </w:tcPr>
          <w:p w14:paraId="7D148FB0">
            <w:pPr>
              <w:keepNext w:val="0"/>
              <w:keepLines w:val="0"/>
              <w:pageBreakBefore w:val="0"/>
              <w:widowControl w:val="0"/>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sz w:val="21"/>
                <w:szCs w:val="21"/>
                <w:highlight w:val="none"/>
              </w:rPr>
            </w:pPr>
          </w:p>
        </w:tc>
        <w:tc>
          <w:tcPr>
            <w:tcW w:w="1279" w:type="dxa"/>
            <w:vMerge w:val="continue"/>
            <w:vAlign w:val="top"/>
          </w:tcPr>
          <w:p w14:paraId="6741AC6F">
            <w:pPr>
              <w:keepNext w:val="0"/>
              <w:keepLines w:val="0"/>
              <w:pageBreakBefore w:val="0"/>
              <w:widowControl w:val="0"/>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sz w:val="21"/>
                <w:szCs w:val="21"/>
                <w:highlight w:val="none"/>
              </w:rPr>
            </w:pPr>
          </w:p>
        </w:tc>
        <w:tc>
          <w:tcPr>
            <w:tcW w:w="1551" w:type="dxa"/>
            <w:tcBorders>
              <w:top w:val="single" w:color="auto" w:sz="4" w:space="0"/>
              <w:bottom w:val="single" w:color="auto" w:sz="4" w:space="0"/>
            </w:tcBorders>
            <w:vAlign w:val="center"/>
          </w:tcPr>
          <w:p w14:paraId="2335942C">
            <w:pPr>
              <w:keepNext w:val="0"/>
              <w:keepLines w:val="0"/>
              <w:pageBreakBefore w:val="0"/>
              <w:widowControl w:val="0"/>
              <w:wordWrap/>
              <w:overflowPunct/>
              <w:topLinePunct w:val="0"/>
              <w:bidi w:val="0"/>
              <w:spacing w:before="34" w:line="206" w:lineRule="auto"/>
              <w:jc w:val="center"/>
              <w:rPr>
                <w:rFonts w:hint="eastAsia" w:ascii="宋体" w:hAnsi="宋体" w:eastAsia="宋体" w:cs="宋体"/>
                <w:spacing w:val="-1"/>
                <w:kern w:val="2"/>
                <w:sz w:val="21"/>
                <w:szCs w:val="21"/>
                <w:highlight w:val="none"/>
                <w:lang w:val="en-US" w:eastAsia="en-US" w:bidi="ar-SA"/>
              </w:rPr>
            </w:pPr>
            <w:r>
              <w:rPr>
                <w:rFonts w:ascii="宋体" w:hAnsi="宋体" w:eastAsia="宋体" w:cs="宋体"/>
                <w:spacing w:val="-2"/>
                <w:kern w:val="2"/>
                <w:sz w:val="21"/>
                <w:szCs w:val="21"/>
                <w:highlight w:val="none"/>
                <w:lang w:val="en-US" w:eastAsia="en-US" w:bidi="ar-SA"/>
              </w:rPr>
              <w:t>技术支持资料</w:t>
            </w:r>
          </w:p>
        </w:tc>
        <w:tc>
          <w:tcPr>
            <w:tcW w:w="6300" w:type="dxa"/>
            <w:tcBorders>
              <w:top w:val="single" w:color="auto" w:sz="4" w:space="0"/>
              <w:bottom w:val="single" w:color="auto" w:sz="4" w:space="0"/>
            </w:tcBorders>
            <w:vAlign w:val="center"/>
          </w:tcPr>
          <w:p w14:paraId="19550499">
            <w:pPr>
              <w:keepNext w:val="0"/>
              <w:keepLines w:val="0"/>
              <w:pageBreakBefore w:val="0"/>
              <w:widowControl w:val="0"/>
              <w:wordWrap/>
              <w:overflowPunct/>
              <w:topLinePunct w:val="0"/>
              <w:bidi w:val="0"/>
              <w:spacing w:before="34" w:line="206" w:lineRule="auto"/>
              <w:ind w:left="115" w:leftChars="0"/>
              <w:jc w:val="left"/>
              <w:rPr>
                <w:rFonts w:hint="eastAsia" w:ascii="宋体" w:hAnsi="宋体" w:eastAsia="宋体" w:cs="宋体"/>
                <w:spacing w:val="-4"/>
                <w:kern w:val="2"/>
                <w:sz w:val="21"/>
                <w:szCs w:val="21"/>
                <w:highlight w:val="none"/>
                <w:lang w:val="en-US" w:eastAsia="en-US" w:bidi="ar-SA"/>
              </w:rPr>
            </w:pPr>
            <w:r>
              <w:rPr>
                <w:rFonts w:ascii="宋体" w:hAnsi="宋体" w:eastAsia="宋体" w:cs="宋体"/>
                <w:spacing w:val="-4"/>
                <w:kern w:val="2"/>
                <w:sz w:val="21"/>
                <w:szCs w:val="21"/>
                <w:highlight w:val="none"/>
                <w:lang w:val="en-US" w:eastAsia="en-US" w:bidi="ar-SA"/>
              </w:rPr>
              <w:t>符合第二章“投标人须知”第1.11.3项规定</w:t>
            </w:r>
          </w:p>
        </w:tc>
      </w:tr>
      <w:tr w14:paraId="71D13E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jc w:val="center"/>
        </w:trPr>
        <w:tc>
          <w:tcPr>
            <w:tcW w:w="803" w:type="dxa"/>
            <w:vMerge w:val="continue"/>
            <w:vAlign w:val="top"/>
          </w:tcPr>
          <w:p w14:paraId="2A7572F4">
            <w:pPr>
              <w:keepNext w:val="0"/>
              <w:keepLines w:val="0"/>
              <w:pageBreakBefore w:val="0"/>
              <w:widowControl w:val="0"/>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sz w:val="21"/>
                <w:szCs w:val="21"/>
                <w:highlight w:val="none"/>
              </w:rPr>
            </w:pPr>
          </w:p>
        </w:tc>
        <w:tc>
          <w:tcPr>
            <w:tcW w:w="1279" w:type="dxa"/>
            <w:vMerge w:val="continue"/>
            <w:vAlign w:val="top"/>
          </w:tcPr>
          <w:p w14:paraId="6C6AA126">
            <w:pPr>
              <w:keepNext w:val="0"/>
              <w:keepLines w:val="0"/>
              <w:pageBreakBefore w:val="0"/>
              <w:widowControl w:val="0"/>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sz w:val="21"/>
                <w:szCs w:val="21"/>
                <w:highlight w:val="none"/>
              </w:rPr>
            </w:pPr>
          </w:p>
        </w:tc>
        <w:tc>
          <w:tcPr>
            <w:tcW w:w="1551" w:type="dxa"/>
            <w:tcBorders>
              <w:top w:val="single" w:color="auto" w:sz="4" w:space="0"/>
              <w:bottom w:val="single" w:color="auto" w:sz="4" w:space="0"/>
            </w:tcBorders>
            <w:vAlign w:val="center"/>
          </w:tcPr>
          <w:p w14:paraId="3494CFD5">
            <w:pPr>
              <w:keepNext w:val="0"/>
              <w:keepLines w:val="0"/>
              <w:pageBreakBefore w:val="0"/>
              <w:widowControl w:val="0"/>
              <w:wordWrap/>
              <w:overflowPunct/>
              <w:topLinePunct w:val="0"/>
              <w:bidi w:val="0"/>
              <w:snapToGrid w:val="0"/>
              <w:spacing w:line="300" w:lineRule="exact"/>
              <w:jc w:val="center"/>
              <w:rPr>
                <w:rFonts w:ascii="Calibri" w:hAnsi="Calibri" w:eastAsia="宋体" w:cs="Times New Roman"/>
                <w:spacing w:val="-2"/>
                <w:kern w:val="0"/>
                <w:sz w:val="21"/>
                <w:szCs w:val="21"/>
                <w:highlight w:val="none"/>
                <w:lang w:val="en-US" w:eastAsia="en-US" w:bidi="ar-SA"/>
              </w:rPr>
            </w:pPr>
            <w:r>
              <w:rPr>
                <w:rFonts w:hint="eastAsia" w:ascii="宋体" w:hAnsi="宋体" w:eastAsia="宋体" w:cs="Times New Roman"/>
                <w:kern w:val="0"/>
                <w:sz w:val="21"/>
                <w:szCs w:val="21"/>
                <w:highlight w:val="none"/>
                <w:lang w:val="en-US" w:eastAsia="zh-CN" w:bidi="ar-SA"/>
              </w:rPr>
              <w:t>异常低价</w:t>
            </w:r>
          </w:p>
        </w:tc>
        <w:tc>
          <w:tcPr>
            <w:tcW w:w="6300" w:type="dxa"/>
            <w:tcBorders>
              <w:top w:val="single" w:color="auto" w:sz="4" w:space="0"/>
              <w:bottom w:val="single" w:color="auto" w:sz="4" w:space="0"/>
            </w:tcBorders>
            <w:vAlign w:val="center"/>
          </w:tcPr>
          <w:p w14:paraId="21067527">
            <w:pPr>
              <w:keepNext w:val="0"/>
              <w:keepLines w:val="0"/>
              <w:pageBreakBefore w:val="0"/>
              <w:widowControl w:val="0"/>
              <w:tabs>
                <w:tab w:val="left" w:pos="3060"/>
              </w:tabs>
              <w:wordWrap/>
              <w:overflowPunct/>
              <w:topLinePunct w:val="0"/>
              <w:bidi w:val="0"/>
              <w:snapToGrid w:val="0"/>
              <w:spacing w:line="300" w:lineRule="exact"/>
              <w:rPr>
                <w:rFonts w:ascii="Times New Roman" w:hAnsi="Times New Roman" w:eastAsia="宋体" w:cs="Times New Roman"/>
                <w:spacing w:val="-4"/>
                <w:sz w:val="21"/>
                <w:szCs w:val="21"/>
                <w:highlight w:val="none"/>
              </w:rPr>
            </w:pPr>
            <w:r>
              <w:rPr>
                <w:rFonts w:hint="eastAsia" w:ascii="宋体" w:hAnsi="宋体" w:eastAsia="宋体" w:cs="Times New Roman"/>
                <w:bCs/>
                <w:color w:val="000000"/>
                <w:sz w:val="21"/>
                <w:szCs w:val="21"/>
                <w:highlight w:val="none"/>
                <w:lang w:eastAsia="zh-CN"/>
              </w:rPr>
              <w:t>投标人不存在因投标人须知前附表3.2.5（</w:t>
            </w:r>
            <w:r>
              <w:rPr>
                <w:rFonts w:hint="eastAsia" w:ascii="宋体" w:hAnsi="宋体" w:eastAsia="宋体" w:cs="Times New Roman"/>
                <w:bCs/>
                <w:color w:val="000000"/>
                <w:sz w:val="21"/>
                <w:szCs w:val="21"/>
                <w:highlight w:val="none"/>
                <w:lang w:val="en-US" w:eastAsia="zh-CN"/>
              </w:rPr>
              <w:t>3）</w:t>
            </w:r>
            <w:r>
              <w:rPr>
                <w:rFonts w:hint="eastAsia" w:ascii="宋体" w:hAnsi="宋体" w:eastAsia="宋体" w:cs="Times New Roman"/>
                <w:bCs/>
                <w:color w:val="000000"/>
                <w:sz w:val="21"/>
                <w:szCs w:val="21"/>
                <w:highlight w:val="none"/>
                <w:lang w:eastAsia="zh-CN"/>
              </w:rPr>
              <w:t>项规定被评标委员会认定为低于成本或影响履约的异常低价竞标的情形。</w:t>
            </w:r>
          </w:p>
        </w:tc>
      </w:tr>
      <w:tr w14:paraId="602C5A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8" w:hRule="atLeast"/>
          <w:jc w:val="center"/>
        </w:trPr>
        <w:tc>
          <w:tcPr>
            <w:tcW w:w="9933" w:type="dxa"/>
            <w:gridSpan w:val="4"/>
            <w:vAlign w:val="top"/>
          </w:tcPr>
          <w:p w14:paraId="1EADB3FF">
            <w:pPr>
              <w:keepNext w:val="0"/>
              <w:keepLines w:val="0"/>
              <w:pageBreakBefore w:val="0"/>
              <w:widowControl w:val="0"/>
              <w:tabs>
                <w:tab w:val="left" w:pos="2221"/>
              </w:tabs>
              <w:kinsoku/>
              <w:wordWrap/>
              <w:overflowPunct/>
              <w:topLinePunct w:val="0"/>
              <w:autoSpaceDE w:val="0"/>
              <w:autoSpaceDN w:val="0"/>
              <w:bidi w:val="0"/>
              <w:adjustRightInd/>
              <w:snapToGrid w:val="0"/>
              <w:spacing w:line="320" w:lineRule="exact"/>
              <w:ind w:left="21" w:leftChars="10" w:right="-20" w:firstLine="203" w:firstLineChars="100"/>
              <w:jc w:val="left"/>
              <w:textAlignment w:val="auto"/>
              <w:rPr>
                <w:rFonts w:hint="eastAsia" w:ascii="宋体" w:hAnsi="宋体" w:eastAsia="宋体" w:cs="宋体"/>
                <w:b/>
                <w:bCs/>
                <w:color w:val="000000"/>
                <w:spacing w:val="-4"/>
                <w:sz w:val="21"/>
                <w:szCs w:val="21"/>
                <w:highlight w:val="none"/>
                <w:lang w:val="en-US" w:eastAsia="zh-CN"/>
              </w:rPr>
            </w:pPr>
            <w:r>
              <w:rPr>
                <w:rFonts w:hint="eastAsia" w:ascii="宋体" w:hAnsi="宋体" w:eastAsia="宋体" w:cs="宋体"/>
                <w:b/>
                <w:bCs/>
                <w:color w:val="000000"/>
                <w:spacing w:val="-4"/>
                <w:sz w:val="21"/>
                <w:szCs w:val="21"/>
                <w:highlight w:val="none"/>
              </w:rPr>
              <w:t>暗标部分评审标准</w:t>
            </w:r>
            <w:r>
              <w:rPr>
                <w:rFonts w:hint="eastAsia" w:ascii="宋体" w:hAnsi="宋体" w:eastAsia="宋体" w:cs="宋体"/>
                <w:b/>
                <w:bCs/>
                <w:color w:val="000000"/>
                <w:spacing w:val="-4"/>
                <w:sz w:val="21"/>
                <w:szCs w:val="21"/>
                <w:highlight w:val="none"/>
                <w:lang w:val="en-US" w:eastAsia="zh-CN"/>
              </w:rPr>
              <w:t>:</w:t>
            </w:r>
          </w:p>
          <w:p w14:paraId="392CCA79">
            <w:pPr>
              <w:keepNext w:val="0"/>
              <w:keepLines w:val="0"/>
              <w:pageBreakBefore w:val="0"/>
              <w:widowControl w:val="0"/>
              <w:tabs>
                <w:tab w:val="left" w:pos="3060"/>
              </w:tabs>
              <w:wordWrap/>
              <w:overflowPunct/>
              <w:topLinePunct w:val="0"/>
              <w:bidi w:val="0"/>
              <w:snapToGrid w:val="0"/>
              <w:spacing w:line="300" w:lineRule="exact"/>
              <w:ind w:firstLine="210" w:firstLineChars="100"/>
              <w:rPr>
                <w:rFonts w:hint="eastAsia" w:ascii="宋体" w:hAnsi="宋体" w:eastAsia="宋体" w:cs="Times New Roman"/>
                <w:bCs/>
                <w:color w:val="000000"/>
                <w:sz w:val="21"/>
                <w:szCs w:val="21"/>
                <w:highlight w:val="none"/>
                <w:lang w:eastAsia="zh-CN"/>
              </w:rPr>
            </w:pPr>
            <w:r>
              <w:rPr>
                <w:rFonts w:hint="eastAsia" w:ascii="Times New Roman" w:hAnsi="Times New Roman" w:eastAsia="宋体" w:cs="Times New Roman"/>
                <w:color w:val="000000"/>
                <w:szCs w:val="22"/>
                <w:highlight w:val="none"/>
                <w:lang w:val="en-US" w:eastAsia="zh-CN"/>
              </w:rPr>
              <w:t>(1)暗标部分编制符合招标文件第二章“投标人须知前附表”第10.3款的规定。</w:t>
            </w:r>
          </w:p>
        </w:tc>
      </w:tr>
    </w:tbl>
    <w:tbl>
      <w:tblPr>
        <w:tblStyle w:val="4"/>
        <w:tblW w:w="995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820"/>
        <w:gridCol w:w="1263"/>
        <w:gridCol w:w="1800"/>
        <w:gridCol w:w="6072"/>
      </w:tblGrid>
      <w:tr w14:paraId="6BFC86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1" w:hRule="atLeast"/>
          <w:jc w:val="center"/>
        </w:trPr>
        <w:tc>
          <w:tcPr>
            <w:tcW w:w="820" w:type="dxa"/>
          </w:tcPr>
          <w:p w14:paraId="2CC7B83E">
            <w:pPr>
              <w:keepNext w:val="0"/>
              <w:keepLines w:val="0"/>
              <w:pageBreakBefore w:val="0"/>
              <w:widowControl w:val="0"/>
              <w:kinsoku/>
              <w:wordWrap/>
              <w:overflowPunct/>
              <w:topLinePunct w:val="0"/>
              <w:bidi w:val="0"/>
              <w:adjustRightInd/>
              <w:snapToGrid/>
              <w:spacing w:line="320" w:lineRule="exact"/>
              <w:ind w:left="0" w:right="0" w:rightChars="0"/>
              <w:jc w:val="center"/>
              <w:textAlignment w:val="auto"/>
              <w:rPr>
                <w:rFonts w:hint="eastAsia" w:ascii="宋体" w:hAnsi="宋体" w:eastAsia="宋体" w:cs="宋体"/>
                <w:b/>
                <w:color w:val="000000"/>
                <w:sz w:val="21"/>
                <w:szCs w:val="21"/>
                <w:highlight w:val="none"/>
                <w:lang w:eastAsia="en-US"/>
              </w:rPr>
            </w:pPr>
            <w:r>
              <w:rPr>
                <w:rFonts w:hint="eastAsia" w:ascii="宋体" w:hAnsi="宋体" w:eastAsia="宋体" w:cs="宋体"/>
                <w:b/>
                <w:color w:val="000000"/>
                <w:sz w:val="21"/>
                <w:szCs w:val="21"/>
                <w:highlight w:val="none"/>
                <w:lang w:eastAsia="en-US"/>
              </w:rPr>
              <w:t>条款号</w:t>
            </w:r>
          </w:p>
        </w:tc>
        <w:tc>
          <w:tcPr>
            <w:tcW w:w="1263" w:type="dxa"/>
          </w:tcPr>
          <w:p w14:paraId="04C9E17A">
            <w:pPr>
              <w:keepNext w:val="0"/>
              <w:keepLines w:val="0"/>
              <w:pageBreakBefore w:val="0"/>
              <w:widowControl w:val="0"/>
              <w:kinsoku/>
              <w:wordWrap/>
              <w:overflowPunct/>
              <w:topLinePunct w:val="0"/>
              <w:bidi w:val="0"/>
              <w:adjustRightInd/>
              <w:snapToGrid/>
              <w:spacing w:line="320" w:lineRule="exact"/>
              <w:ind w:left="0" w:right="0" w:rightChars="0"/>
              <w:jc w:val="center"/>
              <w:textAlignment w:val="auto"/>
              <w:rPr>
                <w:rFonts w:hint="eastAsia" w:ascii="宋体" w:hAnsi="宋体" w:eastAsia="宋体" w:cs="宋体"/>
                <w:b/>
                <w:color w:val="000000"/>
                <w:sz w:val="21"/>
                <w:szCs w:val="21"/>
                <w:highlight w:val="none"/>
                <w:lang w:eastAsia="en-US"/>
              </w:rPr>
            </w:pPr>
            <w:r>
              <w:rPr>
                <w:rFonts w:hint="eastAsia" w:ascii="宋体" w:hAnsi="宋体" w:eastAsia="宋体" w:cs="宋体"/>
                <w:b/>
                <w:color w:val="000000"/>
                <w:sz w:val="21"/>
                <w:szCs w:val="21"/>
                <w:highlight w:val="none"/>
                <w:lang w:eastAsia="en-US"/>
              </w:rPr>
              <w:t>条款内容</w:t>
            </w:r>
          </w:p>
        </w:tc>
        <w:tc>
          <w:tcPr>
            <w:tcW w:w="7872" w:type="dxa"/>
            <w:gridSpan w:val="2"/>
          </w:tcPr>
          <w:p w14:paraId="019EFEEA">
            <w:pPr>
              <w:keepNext w:val="0"/>
              <w:keepLines w:val="0"/>
              <w:pageBreakBefore w:val="0"/>
              <w:widowControl w:val="0"/>
              <w:kinsoku/>
              <w:wordWrap/>
              <w:overflowPunct/>
              <w:topLinePunct w:val="0"/>
              <w:bidi w:val="0"/>
              <w:adjustRightInd/>
              <w:snapToGrid/>
              <w:spacing w:line="320" w:lineRule="exact"/>
              <w:ind w:left="0" w:right="0" w:rightChars="0"/>
              <w:jc w:val="center"/>
              <w:textAlignment w:val="auto"/>
              <w:rPr>
                <w:rFonts w:hint="eastAsia" w:ascii="宋体" w:hAnsi="宋体" w:eastAsia="宋体" w:cs="宋体"/>
                <w:b/>
                <w:color w:val="000000"/>
                <w:sz w:val="21"/>
                <w:szCs w:val="21"/>
                <w:highlight w:val="none"/>
                <w:lang w:eastAsia="en-US"/>
              </w:rPr>
            </w:pPr>
            <w:r>
              <w:rPr>
                <w:rFonts w:hint="eastAsia" w:ascii="宋体" w:hAnsi="宋体" w:eastAsia="宋体" w:cs="宋体"/>
                <w:b/>
                <w:color w:val="000000"/>
                <w:sz w:val="21"/>
                <w:szCs w:val="21"/>
                <w:highlight w:val="none"/>
                <w:lang w:eastAsia="en-US"/>
              </w:rPr>
              <w:t>编列内容</w:t>
            </w:r>
          </w:p>
        </w:tc>
      </w:tr>
      <w:tr w14:paraId="1F24EC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1" w:hRule="atLeast"/>
          <w:jc w:val="center"/>
        </w:trPr>
        <w:tc>
          <w:tcPr>
            <w:tcW w:w="820" w:type="dxa"/>
          </w:tcPr>
          <w:p w14:paraId="2816E5C2">
            <w:pPr>
              <w:keepNext w:val="0"/>
              <w:keepLines w:val="0"/>
              <w:pageBreakBefore w:val="0"/>
              <w:widowControl w:val="0"/>
              <w:kinsoku/>
              <w:wordWrap/>
              <w:overflowPunct/>
              <w:topLinePunct w:val="0"/>
              <w:bidi w:val="0"/>
              <w:adjustRightInd/>
              <w:snapToGrid/>
              <w:spacing w:line="320" w:lineRule="exact"/>
              <w:ind w:left="0" w:right="0" w:rightChars="0"/>
              <w:jc w:val="center"/>
              <w:textAlignment w:val="auto"/>
              <w:rPr>
                <w:rFonts w:hint="eastAsia" w:ascii="宋体" w:hAnsi="宋体" w:eastAsia="宋体" w:cs="宋体"/>
                <w:b/>
                <w:color w:val="000000"/>
                <w:sz w:val="21"/>
                <w:szCs w:val="21"/>
                <w:highlight w:val="none"/>
                <w:lang w:eastAsia="en-US"/>
              </w:rPr>
            </w:pPr>
          </w:p>
          <w:p w14:paraId="1FBEC41D">
            <w:pPr>
              <w:keepNext w:val="0"/>
              <w:keepLines w:val="0"/>
              <w:pageBreakBefore w:val="0"/>
              <w:widowControl w:val="0"/>
              <w:kinsoku/>
              <w:wordWrap/>
              <w:overflowPunct/>
              <w:topLinePunct w:val="0"/>
              <w:bidi w:val="0"/>
              <w:adjustRightInd/>
              <w:snapToGrid/>
              <w:spacing w:line="320" w:lineRule="exact"/>
              <w:ind w:left="0" w:right="0" w:rightChars="0"/>
              <w:jc w:val="center"/>
              <w:textAlignment w:val="auto"/>
              <w:rPr>
                <w:rFonts w:hint="eastAsia" w:ascii="宋体" w:hAnsi="宋体" w:eastAsia="宋体" w:cs="宋体"/>
                <w:b/>
                <w:color w:val="000000"/>
                <w:sz w:val="21"/>
                <w:szCs w:val="21"/>
                <w:highlight w:val="none"/>
                <w:lang w:eastAsia="en-US"/>
              </w:rPr>
            </w:pPr>
          </w:p>
          <w:p w14:paraId="53C97B67">
            <w:pPr>
              <w:keepNext w:val="0"/>
              <w:keepLines w:val="0"/>
              <w:pageBreakBefore w:val="0"/>
              <w:widowControl w:val="0"/>
              <w:kinsoku/>
              <w:wordWrap/>
              <w:overflowPunct/>
              <w:topLinePunct w:val="0"/>
              <w:bidi w:val="0"/>
              <w:adjustRightInd/>
              <w:snapToGrid/>
              <w:spacing w:line="320" w:lineRule="exact"/>
              <w:ind w:left="0" w:right="0" w:rightChars="0"/>
              <w:jc w:val="center"/>
              <w:textAlignment w:val="auto"/>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2.2.1</w:t>
            </w:r>
          </w:p>
        </w:tc>
        <w:tc>
          <w:tcPr>
            <w:tcW w:w="1263" w:type="dxa"/>
            <w:vAlign w:val="center"/>
          </w:tcPr>
          <w:p w14:paraId="1431B34B">
            <w:pPr>
              <w:keepNext w:val="0"/>
              <w:keepLines w:val="0"/>
              <w:pageBreakBefore w:val="0"/>
              <w:widowControl w:val="0"/>
              <w:kinsoku/>
              <w:wordWrap/>
              <w:overflowPunct/>
              <w:topLinePunct w:val="0"/>
              <w:bidi w:val="0"/>
              <w:adjustRightInd/>
              <w:snapToGrid/>
              <w:spacing w:line="320" w:lineRule="exact"/>
              <w:ind w:left="0" w:right="0" w:rightChars="0"/>
              <w:jc w:val="center"/>
              <w:textAlignment w:val="auto"/>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分值构成</w:t>
            </w:r>
          </w:p>
          <w:p w14:paraId="7DA1C6C4">
            <w:pPr>
              <w:keepNext w:val="0"/>
              <w:keepLines w:val="0"/>
              <w:pageBreakBefore w:val="0"/>
              <w:widowControl w:val="0"/>
              <w:kinsoku/>
              <w:wordWrap/>
              <w:overflowPunct/>
              <w:topLinePunct w:val="0"/>
              <w:bidi w:val="0"/>
              <w:adjustRightInd/>
              <w:snapToGrid/>
              <w:spacing w:line="320" w:lineRule="exact"/>
              <w:ind w:left="0" w:right="0" w:rightChars="0"/>
              <w:jc w:val="center"/>
              <w:textAlignment w:val="auto"/>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(总分 100 分)</w:t>
            </w:r>
          </w:p>
        </w:tc>
        <w:tc>
          <w:tcPr>
            <w:tcW w:w="7872" w:type="dxa"/>
            <w:gridSpan w:val="2"/>
          </w:tcPr>
          <w:p w14:paraId="5F55B66A">
            <w:pPr>
              <w:keepNext w:val="0"/>
              <w:keepLines w:val="0"/>
              <w:pageBreakBefore w:val="0"/>
              <w:widowControl w:val="0"/>
              <w:kinsoku w:val="0"/>
              <w:wordWrap/>
              <w:overflowPunct w:val="0"/>
              <w:topLinePunct w:val="0"/>
              <w:autoSpaceDE/>
              <w:autoSpaceDN/>
              <w:bidi w:val="0"/>
              <w:adjustRightInd/>
              <w:snapToGrid/>
              <w:spacing w:line="320" w:lineRule="exact"/>
              <w:ind w:left="21" w:leftChars="10" w:right="0" w:rightChars="0" w:firstLine="0"/>
              <w:jc w:val="left"/>
              <w:textAlignment w:val="auto"/>
              <w:rPr>
                <w:rFonts w:hint="eastAsia" w:ascii="宋体" w:hAnsi="宋体" w:eastAsia="宋体" w:cs="宋体"/>
                <w:color w:val="000000"/>
                <w:kern w:val="21"/>
                <w:sz w:val="21"/>
                <w:szCs w:val="21"/>
                <w:highlight w:val="none"/>
              </w:rPr>
            </w:pPr>
            <w:r>
              <w:rPr>
                <w:rFonts w:hint="eastAsia" w:ascii="宋体" w:hAnsi="宋体" w:eastAsia="宋体" w:cs="宋体"/>
                <w:b/>
                <w:color w:val="000000"/>
                <w:kern w:val="21"/>
                <w:sz w:val="21"/>
                <w:szCs w:val="21"/>
                <w:highlight w:val="none"/>
              </w:rPr>
              <w:t>第一个信封（</w:t>
            </w:r>
            <w:r>
              <w:rPr>
                <w:rFonts w:hint="eastAsia" w:ascii="宋体" w:hAnsi="宋体" w:eastAsia="宋体" w:cs="宋体"/>
                <w:b/>
                <w:color w:val="000000"/>
                <w:kern w:val="21"/>
                <w:sz w:val="21"/>
                <w:szCs w:val="21"/>
                <w:highlight w:val="none"/>
                <w:lang w:val="en-US" w:eastAsia="zh-CN"/>
              </w:rPr>
              <w:t>5</w:t>
            </w:r>
            <w:r>
              <w:rPr>
                <w:rFonts w:hint="eastAsia" w:ascii="宋体" w:hAnsi="宋体" w:eastAsia="宋体" w:cs="宋体"/>
                <w:b/>
                <w:color w:val="000000"/>
                <w:kern w:val="21"/>
                <w:sz w:val="21"/>
                <w:szCs w:val="21"/>
                <w:highlight w:val="none"/>
              </w:rPr>
              <w:t>0）：</w:t>
            </w:r>
          </w:p>
          <w:p w14:paraId="47208FFB">
            <w:pPr>
              <w:keepNext w:val="0"/>
              <w:keepLines w:val="0"/>
              <w:pageBreakBefore w:val="0"/>
              <w:widowControl w:val="0"/>
              <w:kinsoku w:val="0"/>
              <w:wordWrap/>
              <w:overflowPunct w:val="0"/>
              <w:topLinePunct w:val="0"/>
              <w:autoSpaceDE/>
              <w:autoSpaceDN/>
              <w:bidi w:val="0"/>
              <w:adjustRightInd/>
              <w:snapToGrid/>
              <w:spacing w:line="320" w:lineRule="exact"/>
              <w:ind w:left="21" w:leftChars="10" w:right="0" w:rightChars="0" w:firstLine="0"/>
              <w:jc w:val="left"/>
              <w:textAlignment w:val="auto"/>
              <w:rPr>
                <w:rFonts w:hint="eastAsia" w:ascii="宋体" w:hAnsi="宋体" w:eastAsia="宋体" w:cs="宋体"/>
                <w:color w:val="000000"/>
                <w:kern w:val="21"/>
                <w:sz w:val="21"/>
                <w:szCs w:val="21"/>
                <w:highlight w:val="none"/>
              </w:rPr>
            </w:pPr>
            <w:r>
              <w:rPr>
                <w:rFonts w:hint="eastAsia" w:ascii="宋体" w:hAnsi="宋体" w:eastAsia="宋体" w:cs="宋体"/>
                <w:color w:val="000000"/>
                <w:kern w:val="21"/>
                <w:sz w:val="21"/>
                <w:szCs w:val="21"/>
                <w:highlight w:val="none"/>
                <w:lang w:val="en-US" w:eastAsia="zh-CN"/>
              </w:rPr>
              <w:t>商务部分</w:t>
            </w:r>
            <w:r>
              <w:rPr>
                <w:rFonts w:hint="eastAsia" w:ascii="宋体" w:hAnsi="宋体" w:eastAsia="宋体" w:cs="宋体"/>
                <w:color w:val="000000"/>
                <w:kern w:val="21"/>
                <w:sz w:val="21"/>
                <w:szCs w:val="21"/>
                <w:highlight w:val="none"/>
              </w:rPr>
              <w:t>：</w:t>
            </w:r>
            <w:r>
              <w:rPr>
                <w:rFonts w:ascii="宋体" w:hAnsi="宋体" w:eastAsia="宋体" w:cs="宋体"/>
                <w:color w:val="000000"/>
                <w:kern w:val="21"/>
                <w:sz w:val="21"/>
                <w:szCs w:val="21"/>
                <w:highlight w:val="none"/>
                <w:u w:val="single"/>
              </w:rPr>
              <w:t xml:space="preserve"> </w:t>
            </w:r>
            <w:r>
              <w:rPr>
                <w:rFonts w:hint="default" w:ascii="宋体" w:hAnsi="宋体" w:eastAsia="宋体" w:cs="宋体"/>
                <w:color w:val="000000"/>
                <w:kern w:val="21"/>
                <w:sz w:val="21"/>
                <w:szCs w:val="21"/>
                <w:highlight w:val="none"/>
                <w:u w:val="single"/>
                <w:lang w:val="en-US" w:eastAsia="zh-CN"/>
              </w:rPr>
              <w:t>2</w:t>
            </w:r>
            <w:r>
              <w:rPr>
                <w:rFonts w:hint="eastAsia" w:ascii="宋体" w:hAnsi="宋体" w:eastAsia="宋体" w:cs="宋体"/>
                <w:color w:val="000000"/>
                <w:kern w:val="21"/>
                <w:sz w:val="21"/>
                <w:szCs w:val="21"/>
                <w:highlight w:val="none"/>
                <w:u w:val="single"/>
                <w:lang w:val="en-US" w:eastAsia="zh-CN"/>
              </w:rPr>
              <w:t>0</w:t>
            </w:r>
            <w:r>
              <w:rPr>
                <w:rFonts w:ascii="宋体" w:hAnsi="宋体" w:eastAsia="宋体" w:cs="宋体"/>
                <w:color w:val="000000"/>
                <w:kern w:val="21"/>
                <w:sz w:val="21"/>
                <w:szCs w:val="21"/>
                <w:highlight w:val="none"/>
                <w:u w:val="single"/>
              </w:rPr>
              <w:t xml:space="preserve"> </w:t>
            </w:r>
            <w:r>
              <w:rPr>
                <w:rFonts w:hint="eastAsia" w:ascii="宋体" w:hAnsi="宋体" w:eastAsia="宋体" w:cs="宋体"/>
                <w:color w:val="000000"/>
                <w:kern w:val="21"/>
                <w:sz w:val="21"/>
                <w:szCs w:val="21"/>
                <w:highlight w:val="none"/>
              </w:rPr>
              <w:t>分</w:t>
            </w:r>
          </w:p>
          <w:p w14:paraId="70A9D2D2">
            <w:pPr>
              <w:keepNext w:val="0"/>
              <w:keepLines w:val="0"/>
              <w:pageBreakBefore w:val="0"/>
              <w:widowControl w:val="0"/>
              <w:kinsoku w:val="0"/>
              <w:wordWrap/>
              <w:overflowPunct w:val="0"/>
              <w:topLinePunct w:val="0"/>
              <w:autoSpaceDE/>
              <w:autoSpaceDN/>
              <w:bidi w:val="0"/>
              <w:adjustRightInd/>
              <w:snapToGrid/>
              <w:spacing w:line="320" w:lineRule="exact"/>
              <w:ind w:left="21" w:leftChars="10" w:right="0" w:rightChars="0" w:firstLine="0"/>
              <w:jc w:val="left"/>
              <w:textAlignment w:val="auto"/>
              <w:rPr>
                <w:rFonts w:hint="eastAsia" w:ascii="宋体" w:hAnsi="宋体" w:eastAsia="宋体" w:cs="宋体"/>
                <w:color w:val="000000"/>
                <w:kern w:val="21"/>
                <w:sz w:val="21"/>
                <w:szCs w:val="21"/>
                <w:highlight w:val="none"/>
              </w:rPr>
            </w:pPr>
            <w:r>
              <w:rPr>
                <w:rFonts w:hint="eastAsia" w:ascii="宋体" w:hAnsi="宋体" w:eastAsia="宋体" w:cs="宋体"/>
                <w:color w:val="000000"/>
                <w:kern w:val="21"/>
                <w:sz w:val="21"/>
                <w:szCs w:val="21"/>
                <w:highlight w:val="none"/>
                <w:lang w:val="en-US" w:eastAsia="zh-CN"/>
              </w:rPr>
              <w:t>技术部分</w:t>
            </w:r>
            <w:r>
              <w:rPr>
                <w:rFonts w:hint="eastAsia" w:ascii="宋体" w:hAnsi="宋体" w:eastAsia="宋体" w:cs="宋体"/>
                <w:color w:val="000000"/>
                <w:kern w:val="21"/>
                <w:sz w:val="21"/>
                <w:szCs w:val="21"/>
                <w:highlight w:val="none"/>
              </w:rPr>
              <w:t>：</w:t>
            </w:r>
            <w:r>
              <w:rPr>
                <w:rFonts w:ascii="宋体" w:hAnsi="宋体" w:eastAsia="宋体" w:cs="宋体"/>
                <w:color w:val="000000"/>
                <w:kern w:val="21"/>
                <w:sz w:val="21"/>
                <w:szCs w:val="21"/>
                <w:highlight w:val="none"/>
                <w:u w:val="single"/>
              </w:rPr>
              <w:t xml:space="preserve"> </w:t>
            </w:r>
            <w:r>
              <w:rPr>
                <w:rFonts w:hint="eastAsia" w:ascii="宋体" w:hAnsi="宋体" w:eastAsia="宋体" w:cs="宋体"/>
                <w:color w:val="000000"/>
                <w:kern w:val="21"/>
                <w:sz w:val="21"/>
                <w:szCs w:val="21"/>
                <w:highlight w:val="none"/>
                <w:u w:val="single"/>
                <w:lang w:val="en-US" w:eastAsia="zh-CN"/>
              </w:rPr>
              <w:t>30</w:t>
            </w:r>
            <w:r>
              <w:rPr>
                <w:rFonts w:ascii="宋体" w:hAnsi="宋体" w:eastAsia="宋体" w:cs="宋体"/>
                <w:color w:val="000000"/>
                <w:kern w:val="21"/>
                <w:sz w:val="21"/>
                <w:szCs w:val="21"/>
                <w:highlight w:val="none"/>
                <w:u w:val="single"/>
              </w:rPr>
              <w:t xml:space="preserve"> </w:t>
            </w:r>
            <w:r>
              <w:rPr>
                <w:rFonts w:hint="eastAsia" w:ascii="宋体" w:hAnsi="宋体" w:eastAsia="宋体" w:cs="宋体"/>
                <w:color w:val="000000"/>
                <w:kern w:val="21"/>
                <w:sz w:val="21"/>
                <w:szCs w:val="21"/>
                <w:highlight w:val="none"/>
              </w:rPr>
              <w:t>分</w:t>
            </w:r>
          </w:p>
          <w:p w14:paraId="151A22DC">
            <w:pPr>
              <w:keepNext w:val="0"/>
              <w:keepLines w:val="0"/>
              <w:pageBreakBefore w:val="0"/>
              <w:widowControl w:val="0"/>
              <w:kinsoku w:val="0"/>
              <w:wordWrap/>
              <w:overflowPunct w:val="0"/>
              <w:topLinePunct w:val="0"/>
              <w:autoSpaceDE/>
              <w:autoSpaceDN/>
              <w:bidi w:val="0"/>
              <w:adjustRightInd/>
              <w:snapToGrid/>
              <w:spacing w:line="320" w:lineRule="exact"/>
              <w:ind w:left="21" w:leftChars="10" w:right="0" w:rightChars="0" w:firstLine="0"/>
              <w:jc w:val="left"/>
              <w:textAlignment w:val="auto"/>
              <w:rPr>
                <w:rFonts w:hint="eastAsia" w:ascii="宋体" w:hAnsi="宋体" w:eastAsia="宋体" w:cs="宋体"/>
                <w:color w:val="000000"/>
                <w:kern w:val="21"/>
                <w:sz w:val="21"/>
                <w:szCs w:val="21"/>
                <w:highlight w:val="none"/>
              </w:rPr>
            </w:pPr>
            <w:r>
              <w:rPr>
                <w:rFonts w:hint="eastAsia" w:ascii="宋体" w:hAnsi="宋体" w:eastAsia="宋体" w:cs="宋体"/>
                <w:b/>
                <w:color w:val="000000"/>
                <w:kern w:val="21"/>
                <w:sz w:val="21"/>
                <w:szCs w:val="21"/>
                <w:highlight w:val="none"/>
              </w:rPr>
              <w:t>第二个信封（</w:t>
            </w:r>
            <w:r>
              <w:rPr>
                <w:rFonts w:hint="eastAsia" w:ascii="宋体" w:hAnsi="宋体" w:eastAsia="宋体" w:cs="宋体"/>
                <w:b/>
                <w:color w:val="000000"/>
                <w:kern w:val="21"/>
                <w:sz w:val="21"/>
                <w:szCs w:val="21"/>
                <w:highlight w:val="none"/>
                <w:lang w:val="en-US" w:eastAsia="zh-CN"/>
              </w:rPr>
              <w:t>5</w:t>
            </w:r>
            <w:r>
              <w:rPr>
                <w:rFonts w:ascii="宋体" w:hAnsi="宋体" w:eastAsia="宋体" w:cs="宋体"/>
                <w:b/>
                <w:color w:val="000000"/>
                <w:kern w:val="21"/>
                <w:sz w:val="21"/>
                <w:szCs w:val="21"/>
                <w:highlight w:val="none"/>
              </w:rPr>
              <w:t>0）：</w:t>
            </w:r>
          </w:p>
          <w:p w14:paraId="1D0D4612">
            <w:pPr>
              <w:keepNext w:val="0"/>
              <w:keepLines w:val="0"/>
              <w:pageBreakBefore w:val="0"/>
              <w:widowControl w:val="0"/>
              <w:tabs>
                <w:tab w:val="left" w:pos="2314"/>
              </w:tabs>
              <w:kinsoku w:val="0"/>
              <w:wordWrap/>
              <w:overflowPunct w:val="0"/>
              <w:topLinePunct w:val="0"/>
              <w:autoSpaceDE/>
              <w:autoSpaceDN/>
              <w:bidi w:val="0"/>
              <w:adjustRightInd/>
              <w:snapToGrid/>
              <w:spacing w:line="320" w:lineRule="exact"/>
              <w:ind w:left="21" w:leftChars="10" w:right="0" w:rightChars="0" w:firstLine="0"/>
              <w:jc w:val="left"/>
              <w:textAlignment w:val="auto"/>
              <w:rPr>
                <w:rFonts w:hint="eastAsia" w:ascii="宋体" w:hAnsi="宋体" w:eastAsia="宋体" w:cs="宋体"/>
                <w:color w:val="000000"/>
                <w:sz w:val="21"/>
                <w:szCs w:val="21"/>
                <w:highlight w:val="none"/>
                <w:lang w:eastAsia="en-US"/>
              </w:rPr>
            </w:pPr>
            <w:r>
              <w:rPr>
                <w:rFonts w:hint="eastAsia" w:ascii="宋体" w:hAnsi="宋体" w:eastAsia="宋体" w:cs="宋体"/>
                <w:color w:val="000000"/>
                <w:kern w:val="21"/>
                <w:sz w:val="21"/>
                <w:szCs w:val="21"/>
                <w:highlight w:val="none"/>
              </w:rPr>
              <w:t>评</w:t>
            </w:r>
            <w:r>
              <w:rPr>
                <w:rFonts w:hint="eastAsia" w:ascii="宋体" w:hAnsi="宋体" w:eastAsia="宋体" w:cs="宋体"/>
                <w:color w:val="000000"/>
                <w:kern w:val="21"/>
                <w:sz w:val="21"/>
                <w:szCs w:val="21"/>
                <w:highlight w:val="none"/>
                <w:lang w:eastAsia="en-US"/>
              </w:rPr>
              <w:t>标价：</w:t>
            </w:r>
            <w:r>
              <w:rPr>
                <w:rFonts w:ascii="宋体" w:hAnsi="宋体" w:eastAsia="宋体" w:cs="宋体"/>
                <w:color w:val="000000"/>
                <w:kern w:val="21"/>
                <w:sz w:val="21"/>
                <w:szCs w:val="21"/>
                <w:highlight w:val="none"/>
                <w:u w:val="single"/>
                <w:lang w:eastAsia="en-US"/>
              </w:rPr>
              <w:t xml:space="preserve">  </w:t>
            </w:r>
            <w:r>
              <w:rPr>
                <w:rFonts w:hint="eastAsia" w:ascii="宋体" w:hAnsi="宋体" w:eastAsia="宋体" w:cs="宋体"/>
                <w:color w:val="000000"/>
                <w:kern w:val="21"/>
                <w:sz w:val="21"/>
                <w:szCs w:val="21"/>
                <w:highlight w:val="none"/>
                <w:u w:val="single"/>
                <w:lang w:val="en-US" w:eastAsia="zh-CN"/>
              </w:rPr>
              <w:t>5</w:t>
            </w:r>
            <w:r>
              <w:rPr>
                <w:rFonts w:ascii="宋体" w:hAnsi="宋体" w:eastAsia="宋体" w:cs="宋体"/>
                <w:color w:val="000000"/>
                <w:kern w:val="21"/>
                <w:sz w:val="21"/>
                <w:szCs w:val="21"/>
                <w:highlight w:val="none"/>
                <w:u w:val="single"/>
              </w:rPr>
              <w:t>0</w:t>
            </w:r>
            <w:r>
              <w:rPr>
                <w:rFonts w:ascii="宋体" w:hAnsi="宋体" w:eastAsia="宋体" w:cs="宋体"/>
                <w:color w:val="000000"/>
                <w:kern w:val="21"/>
                <w:sz w:val="21"/>
                <w:szCs w:val="21"/>
                <w:highlight w:val="none"/>
                <w:u w:val="single"/>
                <w:lang w:eastAsia="en-US"/>
              </w:rPr>
              <w:t xml:space="preserve"> </w:t>
            </w:r>
            <w:r>
              <w:rPr>
                <w:rFonts w:hint="eastAsia" w:ascii="宋体" w:hAnsi="宋体" w:eastAsia="宋体" w:cs="宋体"/>
                <w:color w:val="000000"/>
                <w:kern w:val="21"/>
                <w:sz w:val="21"/>
                <w:szCs w:val="21"/>
                <w:highlight w:val="none"/>
                <w:lang w:eastAsia="en-US"/>
              </w:rPr>
              <w:t>分</w:t>
            </w:r>
          </w:p>
        </w:tc>
      </w:tr>
      <w:tr w14:paraId="25F681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0" w:hRule="atLeast"/>
          <w:jc w:val="center"/>
        </w:trPr>
        <w:tc>
          <w:tcPr>
            <w:tcW w:w="820" w:type="dxa"/>
            <w:vAlign w:val="center"/>
          </w:tcPr>
          <w:p w14:paraId="503160F6">
            <w:pPr>
              <w:keepNext w:val="0"/>
              <w:keepLines w:val="0"/>
              <w:pageBreakBefore w:val="0"/>
              <w:widowControl w:val="0"/>
              <w:kinsoku/>
              <w:wordWrap/>
              <w:overflowPunct/>
              <w:topLinePunct w:val="0"/>
              <w:bidi w:val="0"/>
              <w:adjustRightInd/>
              <w:snapToGrid/>
              <w:spacing w:line="320" w:lineRule="exact"/>
              <w:ind w:left="0" w:right="0" w:rightChars="0"/>
              <w:jc w:val="center"/>
              <w:textAlignment w:val="auto"/>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2.2.2</w:t>
            </w:r>
          </w:p>
        </w:tc>
        <w:tc>
          <w:tcPr>
            <w:tcW w:w="1263" w:type="dxa"/>
            <w:vAlign w:val="center"/>
          </w:tcPr>
          <w:p w14:paraId="1A011A10">
            <w:pPr>
              <w:keepNext w:val="0"/>
              <w:keepLines w:val="0"/>
              <w:pageBreakBefore w:val="0"/>
              <w:widowControl w:val="0"/>
              <w:kinsoku/>
              <w:wordWrap/>
              <w:overflowPunct/>
              <w:topLinePunct w:val="0"/>
              <w:bidi w:val="0"/>
              <w:adjustRightInd/>
              <w:snapToGrid/>
              <w:spacing w:line="320" w:lineRule="exact"/>
              <w:ind w:left="0" w:right="0" w:rightChars="0"/>
              <w:jc w:val="center"/>
              <w:textAlignment w:val="auto"/>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评标基准价计算方法</w:t>
            </w:r>
          </w:p>
        </w:tc>
        <w:tc>
          <w:tcPr>
            <w:tcW w:w="7872" w:type="dxa"/>
            <w:gridSpan w:val="2"/>
          </w:tcPr>
          <w:p w14:paraId="7F5C314A">
            <w:pPr>
              <w:keepNext w:val="0"/>
              <w:keepLines w:val="0"/>
              <w:pageBreakBefore w:val="0"/>
              <w:widowControl w:val="0"/>
              <w:kinsoku/>
              <w:wordWrap/>
              <w:overflowPunct/>
              <w:topLinePunct w:val="0"/>
              <w:autoSpaceDE/>
              <w:autoSpaceDN/>
              <w:bidi w:val="0"/>
              <w:adjustRightInd/>
              <w:snapToGrid w:val="0"/>
              <w:spacing w:line="320" w:lineRule="exact"/>
              <w:ind w:left="21" w:leftChars="10" w:right="0" w:rightChars="0"/>
              <w:jc w:val="both"/>
              <w:textAlignment w:val="auto"/>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评标基准价的计算：</w:t>
            </w:r>
          </w:p>
          <w:p w14:paraId="7A0693F7">
            <w:pPr>
              <w:keepNext w:val="0"/>
              <w:keepLines w:val="0"/>
              <w:pageBreakBefore w:val="0"/>
              <w:widowControl w:val="0"/>
              <w:kinsoku/>
              <w:wordWrap/>
              <w:overflowPunct/>
              <w:topLinePunct w:val="0"/>
              <w:autoSpaceDE/>
              <w:autoSpaceDN/>
              <w:bidi w:val="0"/>
              <w:adjustRightInd/>
              <w:snapToGrid w:val="0"/>
              <w:spacing w:line="320" w:lineRule="exact"/>
              <w:ind w:left="21" w:leftChars="10" w:right="0" w:rightChars="0" w:firstLine="420" w:firstLineChars="200"/>
              <w:jc w:val="both"/>
              <w:textAlignment w:val="auto"/>
              <w:rPr>
                <w:rFonts w:hint="eastAsia" w:ascii="宋体" w:hAnsi="宋体" w:eastAsia="宋体" w:cs="宋体"/>
                <w:color w:val="000000"/>
                <w:szCs w:val="21"/>
                <w:highlight w:val="none"/>
              </w:rPr>
            </w:pPr>
            <w:r>
              <w:rPr>
                <w:rFonts w:hint="eastAsia" w:ascii="宋体" w:hAnsi="宋体" w:eastAsia="宋体" w:cs="宋体"/>
                <w:color w:val="000000"/>
                <w:szCs w:val="22"/>
                <w:highlight w:val="none"/>
              </w:rPr>
              <w:t>在开标现场，招标人将按照</w:t>
            </w:r>
            <w:r>
              <w:rPr>
                <w:rFonts w:hint="eastAsia" w:ascii="宋体" w:hAnsi="宋体" w:eastAsia="宋体" w:cs="宋体"/>
                <w:color w:val="000000"/>
                <w:szCs w:val="22"/>
                <w:highlight w:val="none"/>
                <w:lang w:val="en-US" w:eastAsia="zh-CN"/>
              </w:rPr>
              <w:t>招标文件规定</w:t>
            </w:r>
            <w:r>
              <w:rPr>
                <w:rFonts w:hint="eastAsia" w:ascii="宋体" w:hAnsi="宋体" w:eastAsia="宋体" w:cs="宋体"/>
                <w:color w:val="000000"/>
                <w:szCs w:val="22"/>
                <w:highlight w:val="none"/>
              </w:rPr>
              <w:t>的计算方法当场计算并宣布评标基准价</w:t>
            </w:r>
            <w:r>
              <w:rPr>
                <w:rFonts w:hint="eastAsia" w:ascii="宋体" w:hAnsi="宋体" w:eastAsia="宋体" w:cs="宋体"/>
                <w:color w:val="000000"/>
                <w:kern w:val="2"/>
                <w:sz w:val="21"/>
                <w:szCs w:val="21"/>
                <w:highlight w:val="none"/>
              </w:rPr>
              <w:t>。</w:t>
            </w:r>
          </w:p>
          <w:p w14:paraId="2883977C">
            <w:pPr>
              <w:keepNext w:val="0"/>
              <w:keepLines w:val="0"/>
              <w:pageBreakBefore w:val="0"/>
              <w:widowControl w:val="0"/>
              <w:kinsoku/>
              <w:wordWrap/>
              <w:overflowPunct/>
              <w:topLinePunct w:val="0"/>
              <w:autoSpaceDE/>
              <w:autoSpaceDN/>
              <w:bidi w:val="0"/>
              <w:adjustRightInd/>
              <w:snapToGrid w:val="0"/>
              <w:spacing w:line="320" w:lineRule="exact"/>
              <w:ind w:firstLine="420" w:firstLineChars="20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（1）评标价的确定：评标价＝投标函文字报价</w:t>
            </w:r>
          </w:p>
          <w:p w14:paraId="3CEC9C13">
            <w:pPr>
              <w:keepNext w:val="0"/>
              <w:keepLines w:val="0"/>
              <w:pageBreakBefore w:val="0"/>
              <w:widowControl w:val="0"/>
              <w:kinsoku/>
              <w:wordWrap/>
              <w:overflowPunct/>
              <w:topLinePunct w:val="0"/>
              <w:autoSpaceDE/>
              <w:autoSpaceDN/>
              <w:bidi w:val="0"/>
              <w:adjustRightInd/>
              <w:snapToGrid w:val="0"/>
              <w:spacing w:line="320" w:lineRule="exact"/>
              <w:ind w:firstLine="420" w:firstLineChars="20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（2）评标价平均值的计算：</w:t>
            </w:r>
          </w:p>
          <w:p w14:paraId="4D028C5A">
            <w:pPr>
              <w:keepNext w:val="0"/>
              <w:keepLines w:val="0"/>
              <w:pageBreakBefore w:val="0"/>
              <w:widowControl w:val="0"/>
              <w:kinsoku/>
              <w:wordWrap/>
              <w:overflowPunct/>
              <w:topLinePunct w:val="0"/>
              <w:autoSpaceDE/>
              <w:autoSpaceDN/>
              <w:bidi w:val="0"/>
              <w:adjustRightInd/>
              <w:snapToGrid w:val="0"/>
              <w:spacing w:line="320" w:lineRule="exact"/>
              <w:ind w:firstLine="420" w:firstLineChars="200"/>
              <w:textAlignment w:val="auto"/>
              <w:rPr>
                <w:rFonts w:hint="eastAsia" w:ascii="宋体" w:hAnsi="宋体" w:eastAsia="宋体" w:cs="宋体"/>
                <w:color w:val="000000"/>
                <w:szCs w:val="22"/>
                <w:highlight w:val="none"/>
              </w:rPr>
            </w:pPr>
            <w:r>
              <w:rPr>
                <w:rFonts w:hint="eastAsia" w:ascii="宋体" w:hAnsi="宋体" w:eastAsia="宋体" w:cs="宋体"/>
                <w:color w:val="000000"/>
                <w:szCs w:val="22"/>
                <w:highlight w:val="none"/>
              </w:rPr>
              <w:t>除按第二章“投标人须知”第5.2.4项规定开标现场被宣布为不进入评标基准价计算的投标报价之外，所有投标人的评标价去掉一个最高值和一个最低值后作算术平均（如果参与评标价平均值计算的有效投标人少于5家时，则计算评标价平均值时不去掉最高值和最低值），将该平均值作为评标价平均值。</w:t>
            </w:r>
          </w:p>
          <w:p w14:paraId="1296CFAA">
            <w:pPr>
              <w:keepNext w:val="0"/>
              <w:keepLines w:val="0"/>
              <w:pageBreakBefore w:val="0"/>
              <w:widowControl w:val="0"/>
              <w:kinsoku/>
              <w:wordWrap/>
              <w:overflowPunct/>
              <w:topLinePunct w:val="0"/>
              <w:autoSpaceDE/>
              <w:autoSpaceDN/>
              <w:bidi w:val="0"/>
              <w:adjustRightInd/>
              <w:snapToGrid w:val="0"/>
              <w:spacing w:line="320" w:lineRule="exact"/>
              <w:ind w:right="113" w:firstLine="426" w:firstLineChars="203"/>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(3)评标基准价的确定：</w:t>
            </w:r>
          </w:p>
          <w:p w14:paraId="1C36808F">
            <w:pPr>
              <w:keepNext w:val="0"/>
              <w:keepLines w:val="0"/>
              <w:pageBreakBefore w:val="0"/>
              <w:widowControl w:val="0"/>
              <w:kinsoku/>
              <w:wordWrap/>
              <w:overflowPunct/>
              <w:topLinePunct w:val="0"/>
              <w:autoSpaceDE/>
              <w:autoSpaceDN/>
              <w:bidi w:val="0"/>
              <w:adjustRightInd/>
              <w:snapToGrid w:val="0"/>
              <w:spacing w:line="320" w:lineRule="exact"/>
              <w:ind w:right="113" w:firstLine="426" w:firstLineChars="203"/>
              <w:textAlignment w:val="auto"/>
              <w:rPr>
                <w:rFonts w:hint="eastAsia" w:ascii="宋体" w:hAnsi="宋体" w:eastAsia="宋体" w:cs="宋体"/>
                <w:color w:val="000000"/>
                <w:szCs w:val="21"/>
                <w:highlight w:val="none"/>
              </w:rPr>
            </w:pPr>
            <w:r>
              <w:rPr>
                <w:rFonts w:hint="eastAsia" w:ascii="宋体" w:hAnsi="宋体" w:eastAsia="宋体" w:cs="Times New Roman"/>
                <w:color w:val="000000"/>
                <w:sz w:val="21"/>
                <w:szCs w:val="21"/>
                <w:highlight w:val="none"/>
              </w:rPr>
              <w:t>评标价平均值直接作为评标基准价（评标基准价保留小数点后两位，小数点后第三位四舍五入）</w:t>
            </w:r>
            <w:r>
              <w:rPr>
                <w:rFonts w:hint="eastAsia" w:ascii="宋体" w:hAnsi="宋体" w:eastAsia="宋体" w:cs="宋体"/>
                <w:color w:val="000000"/>
                <w:szCs w:val="21"/>
                <w:highlight w:val="none"/>
              </w:rPr>
              <w:t>。</w:t>
            </w:r>
          </w:p>
          <w:p w14:paraId="74606F2D">
            <w:pPr>
              <w:keepNext w:val="0"/>
              <w:keepLines w:val="0"/>
              <w:pageBreakBefore w:val="0"/>
              <w:widowControl w:val="0"/>
              <w:kinsoku/>
              <w:wordWrap/>
              <w:overflowPunct/>
              <w:topLinePunct w:val="0"/>
              <w:autoSpaceDE/>
              <w:autoSpaceDN/>
              <w:bidi w:val="0"/>
              <w:adjustRightInd/>
              <w:snapToGrid w:val="0"/>
              <w:spacing w:line="320" w:lineRule="exact"/>
              <w:ind w:left="21" w:leftChars="10" w:right="0" w:rightChars="0" w:firstLine="420" w:firstLineChars="200"/>
              <w:jc w:val="both"/>
              <w:textAlignment w:val="auto"/>
              <w:rPr>
                <w:rFonts w:ascii="Times New Roman" w:hAnsi="Times New Roman" w:eastAsia="宋体" w:cs="Times New Roman"/>
                <w:color w:val="000000"/>
                <w:szCs w:val="22"/>
                <w:highlight w:val="none"/>
              </w:rPr>
            </w:pPr>
            <w:r>
              <w:rPr>
                <w:rFonts w:hint="eastAsia" w:ascii="宋体" w:hAnsi="宋体" w:eastAsia="宋体" w:cs="宋体"/>
                <w:color w:val="000000"/>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r>
              <w:rPr>
                <w:rFonts w:hint="eastAsia" w:ascii="宋体" w:hAnsi="宋体" w:eastAsia="宋体" w:cs="宋体"/>
                <w:color w:val="000000"/>
                <w:szCs w:val="22"/>
                <w:highlight w:val="none"/>
              </w:rPr>
              <w:t>。</w:t>
            </w:r>
          </w:p>
        </w:tc>
      </w:tr>
      <w:tr w14:paraId="7587EB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5" w:hRule="atLeast"/>
          <w:jc w:val="center"/>
        </w:trPr>
        <w:tc>
          <w:tcPr>
            <w:tcW w:w="820" w:type="dxa"/>
          </w:tcPr>
          <w:p w14:paraId="7F3FBEF8">
            <w:pPr>
              <w:keepNext w:val="0"/>
              <w:keepLines w:val="0"/>
              <w:pageBreakBefore w:val="0"/>
              <w:widowControl w:val="0"/>
              <w:kinsoku/>
              <w:wordWrap/>
              <w:overflowPunct/>
              <w:topLinePunct w:val="0"/>
              <w:bidi w:val="0"/>
              <w:adjustRightInd/>
              <w:snapToGrid/>
              <w:spacing w:line="320" w:lineRule="exact"/>
              <w:ind w:left="0" w:right="0" w:rightChars="0"/>
              <w:jc w:val="center"/>
              <w:textAlignment w:val="auto"/>
              <w:rPr>
                <w:rFonts w:hint="eastAsia" w:ascii="宋体" w:hAnsi="宋体" w:eastAsia="宋体" w:cs="宋体"/>
                <w:b/>
                <w:color w:val="000000"/>
                <w:sz w:val="21"/>
                <w:szCs w:val="21"/>
                <w:highlight w:val="none"/>
              </w:rPr>
            </w:pPr>
          </w:p>
          <w:p w14:paraId="092DF318">
            <w:pPr>
              <w:keepNext w:val="0"/>
              <w:keepLines w:val="0"/>
              <w:pageBreakBefore w:val="0"/>
              <w:widowControl w:val="0"/>
              <w:kinsoku/>
              <w:wordWrap/>
              <w:overflowPunct/>
              <w:topLinePunct w:val="0"/>
              <w:bidi w:val="0"/>
              <w:adjustRightInd/>
              <w:snapToGrid/>
              <w:spacing w:line="320" w:lineRule="exact"/>
              <w:ind w:left="0" w:right="0" w:rightChars="0" w:firstLine="210" w:firstLineChars="100"/>
              <w:jc w:val="both"/>
              <w:textAlignment w:val="auto"/>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2.2.3</w:t>
            </w:r>
          </w:p>
        </w:tc>
        <w:tc>
          <w:tcPr>
            <w:tcW w:w="1263" w:type="dxa"/>
          </w:tcPr>
          <w:p w14:paraId="5F2D5FB4">
            <w:pPr>
              <w:keepNext w:val="0"/>
              <w:keepLines w:val="0"/>
              <w:pageBreakBefore w:val="0"/>
              <w:widowControl w:val="0"/>
              <w:kinsoku/>
              <w:wordWrap/>
              <w:overflowPunct/>
              <w:topLinePunct w:val="0"/>
              <w:bidi w:val="0"/>
              <w:adjustRightInd/>
              <w:snapToGrid/>
              <w:spacing w:line="320" w:lineRule="exact"/>
              <w:ind w:left="0" w:right="0" w:righ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投标报价的偏差率计算公式</w:t>
            </w:r>
          </w:p>
        </w:tc>
        <w:tc>
          <w:tcPr>
            <w:tcW w:w="7872" w:type="dxa"/>
            <w:gridSpan w:val="2"/>
            <w:vAlign w:val="center"/>
          </w:tcPr>
          <w:p w14:paraId="137A46E3">
            <w:pPr>
              <w:keepNext w:val="0"/>
              <w:keepLines w:val="0"/>
              <w:pageBreakBefore w:val="0"/>
              <w:widowControl w:val="0"/>
              <w:kinsoku/>
              <w:wordWrap/>
              <w:overflowPunct/>
              <w:topLinePunct w:val="0"/>
              <w:bidi w:val="0"/>
              <w:adjustRightInd/>
              <w:snapToGrid/>
              <w:spacing w:line="320" w:lineRule="exact"/>
              <w:ind w:left="0" w:right="0" w:rightChars="0"/>
              <w:jc w:val="both"/>
              <w:textAlignment w:val="auto"/>
              <w:rPr>
                <w:rFonts w:hint="eastAsia" w:ascii="宋体" w:hAnsi="宋体" w:eastAsia="宋体" w:cs="宋体"/>
                <w:color w:val="000000"/>
                <w:sz w:val="21"/>
                <w:szCs w:val="21"/>
                <w:highlight w:val="none"/>
                <w:lang w:eastAsia="zh-CN"/>
              </w:rPr>
            </w:pPr>
            <w:r>
              <w:rPr>
                <w:rFonts w:hint="eastAsia" w:ascii="宋体" w:hAnsi="宋体" w:eastAsia="宋体" w:cs="Times New Roman"/>
                <w:color w:val="000000"/>
                <w:szCs w:val="22"/>
                <w:highlight w:val="none"/>
                <w:lang w:val="en-US" w:eastAsia="zh-CN"/>
              </w:rPr>
              <w:t>/</w:t>
            </w:r>
          </w:p>
        </w:tc>
      </w:tr>
      <w:tr w14:paraId="7C8E66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0" w:hRule="atLeast"/>
          <w:jc w:val="center"/>
        </w:trPr>
        <w:tc>
          <w:tcPr>
            <w:tcW w:w="820" w:type="dxa"/>
            <w:vAlign w:val="center"/>
          </w:tcPr>
          <w:p w14:paraId="26A851E0">
            <w:pPr>
              <w:keepNext w:val="0"/>
              <w:keepLines w:val="0"/>
              <w:pageBreakBefore w:val="0"/>
              <w:widowControl w:val="0"/>
              <w:kinsoku/>
              <w:wordWrap/>
              <w:overflowPunct/>
              <w:topLinePunct w:val="0"/>
              <w:bidi w:val="0"/>
              <w:adjustRightInd/>
              <w:snapToGrid/>
              <w:spacing w:line="320" w:lineRule="exact"/>
              <w:ind w:right="0" w:rightChars="0"/>
              <w:jc w:val="center"/>
              <w:textAlignment w:val="auto"/>
              <w:rPr>
                <w:rFonts w:hint="eastAsia" w:ascii="宋体" w:hAnsi="宋体" w:eastAsia="宋体" w:cs="宋体"/>
                <w:color w:val="000000"/>
                <w:sz w:val="21"/>
                <w:szCs w:val="21"/>
                <w:highlight w:val="none"/>
                <w:lang w:eastAsia="en-US"/>
              </w:rPr>
            </w:pPr>
            <w:r>
              <w:rPr>
                <w:rFonts w:hint="eastAsia" w:ascii="宋体" w:hAnsi="宋体" w:eastAsia="宋体" w:cs="宋体"/>
                <w:snapToGrid w:val="0"/>
                <w:color w:val="000000"/>
                <w:kern w:val="0"/>
                <w:sz w:val="21"/>
                <w:szCs w:val="21"/>
                <w:highlight w:val="none"/>
              </w:rPr>
              <w:t>3.</w:t>
            </w:r>
            <w:r>
              <w:rPr>
                <w:rFonts w:hint="eastAsia" w:ascii="宋体" w:hAnsi="宋体" w:eastAsia="宋体" w:cs="宋体"/>
                <w:snapToGrid w:val="0"/>
                <w:color w:val="000000"/>
                <w:kern w:val="0"/>
                <w:sz w:val="21"/>
                <w:szCs w:val="21"/>
                <w:highlight w:val="none"/>
                <w:lang w:val="en-US" w:eastAsia="zh-CN"/>
              </w:rPr>
              <w:t>2.4</w:t>
            </w:r>
          </w:p>
        </w:tc>
        <w:tc>
          <w:tcPr>
            <w:tcW w:w="9135" w:type="dxa"/>
            <w:gridSpan w:val="3"/>
            <w:vAlign w:val="center"/>
          </w:tcPr>
          <w:p w14:paraId="2BB510F7">
            <w:pPr>
              <w:snapToGrid w:val="0"/>
              <w:spacing w:line="320" w:lineRule="exact"/>
              <w:jc w:val="both"/>
              <w:rPr>
                <w:rFonts w:hint="eastAsia" w:ascii="宋体" w:hAnsi="宋体" w:eastAsia="宋体" w:cs="Times New Roman"/>
                <w:sz w:val="21"/>
                <w:szCs w:val="21"/>
                <w:highlight w:val="none"/>
                <w:lang w:eastAsia="zh-CN"/>
              </w:rPr>
            </w:pPr>
            <w:r>
              <w:rPr>
                <w:rFonts w:hint="eastAsia" w:ascii="宋体" w:hAnsi="宋体" w:eastAsia="宋体" w:cs="Times New Roman"/>
                <w:sz w:val="21"/>
                <w:szCs w:val="21"/>
                <w:highlight w:val="none"/>
                <w:lang w:eastAsia="zh-CN"/>
              </w:rPr>
              <w:t>本款修改为：</w:t>
            </w:r>
          </w:p>
          <w:p w14:paraId="1B2A704A">
            <w:pPr>
              <w:keepNext w:val="0"/>
              <w:keepLines w:val="0"/>
              <w:pageBreakBefore w:val="0"/>
              <w:widowControl w:val="0"/>
              <w:kinsoku/>
              <w:wordWrap/>
              <w:overflowPunct/>
              <w:topLinePunct w:val="0"/>
              <w:bidi w:val="0"/>
              <w:adjustRightInd/>
              <w:snapToGrid/>
              <w:spacing w:line="320" w:lineRule="exact"/>
              <w:ind w:left="0" w:right="0" w:rightChars="0"/>
              <w:jc w:val="left"/>
              <w:textAlignment w:val="auto"/>
              <w:rPr>
                <w:rFonts w:hint="eastAsia" w:ascii="宋体" w:hAnsi="宋体" w:eastAsia="宋体" w:cs="Times New Roman"/>
                <w:color w:val="000000"/>
                <w:sz w:val="21"/>
                <w:szCs w:val="21"/>
                <w:highlight w:val="none"/>
              </w:rPr>
            </w:pPr>
            <w:r>
              <w:rPr>
                <w:rFonts w:hint="eastAsia" w:ascii="宋体" w:hAnsi="宋体" w:eastAsia="宋体" w:cs="Times New Roman"/>
                <w:sz w:val="21"/>
                <w:szCs w:val="21"/>
                <w:highlight w:val="none"/>
                <w:lang w:eastAsia="zh-CN"/>
              </w:rPr>
              <w:t>投标人存在投标人须知前</w:t>
            </w:r>
            <w:r>
              <w:rPr>
                <w:rFonts w:hint="eastAsia" w:ascii="宋体" w:hAnsi="宋体" w:eastAsia="宋体" w:cs="Times New Roman"/>
                <w:color w:val="000000"/>
                <w:sz w:val="21"/>
                <w:szCs w:val="21"/>
                <w:highlight w:val="none"/>
                <w:lang w:eastAsia="zh-CN"/>
              </w:rPr>
              <w:t>附表3.2.5（</w:t>
            </w:r>
            <w:r>
              <w:rPr>
                <w:rFonts w:hint="eastAsia" w:ascii="宋体" w:hAnsi="宋体" w:eastAsia="宋体" w:cs="Times New Roman"/>
                <w:color w:val="000000"/>
                <w:sz w:val="21"/>
                <w:szCs w:val="21"/>
                <w:highlight w:val="none"/>
                <w:lang w:val="en-US" w:eastAsia="zh-CN"/>
              </w:rPr>
              <w:t>3）</w:t>
            </w:r>
            <w:r>
              <w:rPr>
                <w:rFonts w:hint="eastAsia" w:ascii="宋体" w:hAnsi="宋体" w:eastAsia="宋体" w:cs="Times New Roman"/>
                <w:color w:val="000000"/>
                <w:sz w:val="21"/>
                <w:szCs w:val="21"/>
                <w:highlight w:val="none"/>
                <w:lang w:eastAsia="zh-CN"/>
              </w:rPr>
              <w:t>项情形的，评标委员会应当</w:t>
            </w:r>
            <w:r>
              <w:rPr>
                <w:rFonts w:hint="eastAsia" w:ascii="宋体" w:hAnsi="宋体" w:eastAsia="宋体" w:cs="Times New Roman"/>
                <w:color w:val="000000"/>
                <w:sz w:val="21"/>
                <w:szCs w:val="21"/>
                <w:highlight w:val="none"/>
                <w:lang w:val="en-US" w:eastAsia="zh-CN"/>
              </w:rPr>
              <w:t>要求</w:t>
            </w:r>
            <w:r>
              <w:rPr>
                <w:rFonts w:hint="eastAsia" w:ascii="宋体" w:hAnsi="宋体" w:eastAsia="宋体" w:cs="Times New Roman"/>
                <w:color w:val="000000"/>
                <w:sz w:val="21"/>
                <w:szCs w:val="21"/>
                <w:highlight w:val="none"/>
                <w:lang w:eastAsia="zh-CN"/>
              </w:rPr>
              <w:t>投标人在规定时间内作出书面说明并提供相应的证明材料。投标人不能合理说明或者不能提供相应证明材料的，评标委员会应当认定该投标人以低于成本或影响履约的异常低价竞标，否决其投标。</w:t>
            </w:r>
          </w:p>
        </w:tc>
      </w:tr>
      <w:tr w14:paraId="20DF63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jc w:val="center"/>
        </w:trPr>
        <w:tc>
          <w:tcPr>
            <w:tcW w:w="2083" w:type="dxa"/>
            <w:gridSpan w:val="2"/>
            <w:vAlign w:val="center"/>
          </w:tcPr>
          <w:p w14:paraId="0140D4D7">
            <w:pPr>
              <w:keepNext w:val="0"/>
              <w:keepLines w:val="0"/>
              <w:pageBreakBefore w:val="0"/>
              <w:widowControl w:val="0"/>
              <w:kinsoku/>
              <w:wordWrap/>
              <w:overflowPunct/>
              <w:topLinePunct w:val="0"/>
              <w:bidi w:val="0"/>
              <w:adjustRightInd/>
              <w:snapToGrid/>
              <w:spacing w:line="320" w:lineRule="exact"/>
              <w:ind w:left="0" w:right="0" w:rightChars="0"/>
              <w:jc w:val="center"/>
              <w:textAlignment w:val="auto"/>
              <w:rPr>
                <w:rFonts w:hint="eastAsia" w:ascii="宋体" w:hAnsi="宋体" w:eastAsia="宋体" w:cs="宋体"/>
                <w:b/>
                <w:color w:val="000000"/>
                <w:sz w:val="21"/>
                <w:szCs w:val="21"/>
                <w:highlight w:val="none"/>
                <w:lang w:eastAsia="en-US"/>
              </w:rPr>
            </w:pPr>
            <w:r>
              <w:rPr>
                <w:rFonts w:hint="eastAsia" w:ascii="宋体" w:hAnsi="宋体" w:eastAsia="宋体" w:cs="宋体"/>
                <w:b/>
                <w:color w:val="000000"/>
                <w:sz w:val="21"/>
                <w:szCs w:val="21"/>
                <w:highlight w:val="none"/>
                <w:lang w:eastAsia="en-US"/>
              </w:rPr>
              <w:t>条款号</w:t>
            </w:r>
          </w:p>
        </w:tc>
        <w:tc>
          <w:tcPr>
            <w:tcW w:w="1800" w:type="dxa"/>
            <w:tcBorders>
              <w:right w:val="single" w:color="auto" w:sz="4" w:space="0"/>
            </w:tcBorders>
            <w:vAlign w:val="center"/>
          </w:tcPr>
          <w:p w14:paraId="63E94B05">
            <w:pPr>
              <w:keepNext w:val="0"/>
              <w:keepLines w:val="0"/>
              <w:pageBreakBefore w:val="0"/>
              <w:widowControl w:val="0"/>
              <w:kinsoku/>
              <w:wordWrap/>
              <w:overflowPunct/>
              <w:topLinePunct w:val="0"/>
              <w:bidi w:val="0"/>
              <w:adjustRightInd/>
              <w:snapToGrid/>
              <w:spacing w:line="320" w:lineRule="exact"/>
              <w:ind w:left="0" w:right="0" w:rightChars="0"/>
              <w:jc w:val="center"/>
              <w:textAlignment w:val="auto"/>
              <w:rPr>
                <w:rFonts w:hint="eastAsia" w:ascii="宋体" w:hAnsi="宋体" w:eastAsia="宋体" w:cs="宋体"/>
                <w:b/>
                <w:color w:val="000000"/>
                <w:sz w:val="21"/>
                <w:szCs w:val="21"/>
                <w:highlight w:val="none"/>
                <w:lang w:eastAsia="en-US"/>
              </w:rPr>
            </w:pPr>
            <w:r>
              <w:rPr>
                <w:rFonts w:hint="eastAsia" w:ascii="宋体" w:hAnsi="宋体" w:eastAsia="宋体" w:cs="宋体"/>
                <w:b/>
                <w:color w:val="000000"/>
                <w:sz w:val="21"/>
                <w:szCs w:val="21"/>
                <w:highlight w:val="none"/>
                <w:lang w:eastAsia="en-US"/>
              </w:rPr>
              <w:t>评分因素（偏差率）</w:t>
            </w:r>
          </w:p>
        </w:tc>
        <w:tc>
          <w:tcPr>
            <w:tcW w:w="6072" w:type="dxa"/>
            <w:tcBorders>
              <w:left w:val="single" w:color="auto" w:sz="4" w:space="0"/>
            </w:tcBorders>
            <w:vAlign w:val="center"/>
          </w:tcPr>
          <w:p w14:paraId="1A2B32EA">
            <w:pPr>
              <w:keepNext w:val="0"/>
              <w:keepLines w:val="0"/>
              <w:pageBreakBefore w:val="0"/>
              <w:widowControl w:val="0"/>
              <w:kinsoku/>
              <w:wordWrap/>
              <w:overflowPunct/>
              <w:topLinePunct w:val="0"/>
              <w:bidi w:val="0"/>
              <w:adjustRightInd/>
              <w:snapToGrid/>
              <w:spacing w:line="320" w:lineRule="exact"/>
              <w:ind w:left="0" w:right="0" w:rightChars="0"/>
              <w:jc w:val="center"/>
              <w:textAlignment w:val="auto"/>
              <w:rPr>
                <w:rFonts w:hint="eastAsia" w:ascii="宋体" w:hAnsi="宋体" w:eastAsia="宋体" w:cs="宋体"/>
                <w:b/>
                <w:color w:val="000000"/>
                <w:sz w:val="21"/>
                <w:szCs w:val="21"/>
                <w:highlight w:val="none"/>
                <w:lang w:eastAsia="en-US"/>
              </w:rPr>
            </w:pPr>
            <w:r>
              <w:rPr>
                <w:rFonts w:hint="eastAsia" w:ascii="宋体" w:hAnsi="宋体" w:eastAsia="宋体" w:cs="宋体"/>
                <w:b/>
                <w:color w:val="000000"/>
                <w:sz w:val="21"/>
                <w:szCs w:val="21"/>
                <w:highlight w:val="none"/>
                <w:lang w:eastAsia="en-US"/>
              </w:rPr>
              <w:t>评分标准</w:t>
            </w:r>
          </w:p>
        </w:tc>
      </w:tr>
      <w:tr w14:paraId="241003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0" w:hRule="atLeast"/>
          <w:jc w:val="center"/>
        </w:trPr>
        <w:tc>
          <w:tcPr>
            <w:tcW w:w="820" w:type="dxa"/>
            <w:vAlign w:val="center"/>
          </w:tcPr>
          <w:p w14:paraId="2381FA9A">
            <w:pPr>
              <w:keepNext w:val="0"/>
              <w:keepLines w:val="0"/>
              <w:pageBreakBefore w:val="0"/>
              <w:widowControl w:val="0"/>
              <w:kinsoku/>
              <w:wordWrap/>
              <w:overflowPunct/>
              <w:topLinePunct w:val="0"/>
              <w:autoSpaceDE/>
              <w:autoSpaceDN/>
              <w:bidi w:val="0"/>
              <w:adjustRightInd/>
              <w:snapToGrid/>
              <w:spacing w:line="320" w:lineRule="exact"/>
              <w:ind w:left="21" w:leftChars="10" w:right="0" w:rightChars="0"/>
              <w:jc w:val="center"/>
              <w:textAlignment w:val="auto"/>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2.2.4</w:t>
            </w:r>
          </w:p>
          <w:p w14:paraId="285CD472">
            <w:pPr>
              <w:keepNext w:val="0"/>
              <w:keepLines w:val="0"/>
              <w:pageBreakBefore w:val="0"/>
              <w:widowControl w:val="0"/>
              <w:kinsoku/>
              <w:wordWrap/>
              <w:overflowPunct/>
              <w:topLinePunct w:val="0"/>
              <w:autoSpaceDE/>
              <w:autoSpaceDN/>
              <w:bidi w:val="0"/>
              <w:adjustRightInd/>
              <w:snapToGrid/>
              <w:spacing w:line="320" w:lineRule="exact"/>
              <w:ind w:left="21" w:leftChars="10" w:right="0" w:rightChars="0"/>
              <w:jc w:val="center"/>
              <w:textAlignment w:val="auto"/>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（1）</w:t>
            </w:r>
          </w:p>
        </w:tc>
        <w:tc>
          <w:tcPr>
            <w:tcW w:w="1263" w:type="dxa"/>
            <w:vAlign w:val="center"/>
          </w:tcPr>
          <w:p w14:paraId="18A85A4A">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商务部分</w:t>
            </w:r>
            <w:r>
              <w:rPr>
                <w:rFonts w:hint="eastAsia" w:ascii="宋体" w:hAnsi="宋体" w:eastAsia="宋体" w:cs="宋体"/>
                <w:color w:val="000000"/>
                <w:sz w:val="21"/>
                <w:szCs w:val="21"/>
                <w:highlight w:val="none"/>
                <w:lang w:eastAsia="en-US"/>
              </w:rPr>
              <w:t>评分标准</w:t>
            </w:r>
            <w:r>
              <w:rPr>
                <w:rFonts w:hint="default" w:ascii="宋体" w:hAnsi="宋体" w:eastAsia="宋体" w:cs="宋体"/>
                <w:color w:val="000000"/>
                <w:sz w:val="21"/>
                <w:szCs w:val="21"/>
                <w:highlight w:val="none"/>
                <w:lang w:val="en-US" w:eastAsia="zh-CN"/>
              </w:rPr>
              <w:t>2</w:t>
            </w:r>
            <w:r>
              <w:rPr>
                <w:rFonts w:hint="eastAsia" w:ascii="宋体" w:hAnsi="宋体" w:eastAsia="宋体" w:cs="宋体"/>
                <w:color w:val="000000"/>
                <w:sz w:val="21"/>
                <w:szCs w:val="21"/>
                <w:highlight w:val="none"/>
                <w:lang w:val="en-US" w:eastAsia="zh-CN"/>
              </w:rPr>
              <w:t>0分</w:t>
            </w:r>
          </w:p>
        </w:tc>
        <w:tc>
          <w:tcPr>
            <w:tcW w:w="1800" w:type="dxa"/>
            <w:tcBorders>
              <w:right w:val="single" w:color="auto" w:sz="4" w:space="0"/>
            </w:tcBorders>
            <w:vAlign w:val="center"/>
          </w:tcPr>
          <w:p w14:paraId="3C1ECAA2">
            <w:pPr>
              <w:keepNext w:val="0"/>
              <w:keepLines w:val="0"/>
              <w:pageBreakBefore w:val="0"/>
              <w:widowControl w:val="0"/>
              <w:kinsoku/>
              <w:wordWrap/>
              <w:overflowPunct/>
              <w:topLinePunct w:val="0"/>
              <w:autoSpaceDE/>
              <w:autoSpaceDN/>
              <w:bidi w:val="0"/>
              <w:adjustRightInd/>
              <w:snapToGrid/>
              <w:spacing w:line="320" w:lineRule="exact"/>
              <w:ind w:left="21" w:leftChars="10" w:right="0" w:rightChars="0"/>
              <w:jc w:val="center"/>
              <w:textAlignment w:val="auto"/>
              <w:rPr>
                <w:rFonts w:hint="eastAsia" w:ascii="宋体" w:hAnsi="宋体" w:eastAsia="宋体" w:cs="宋体"/>
                <w:color w:val="000000"/>
                <w:kern w:val="2"/>
                <w:sz w:val="21"/>
                <w:szCs w:val="21"/>
                <w:highlight w:val="none"/>
                <w:lang w:val="en-US" w:eastAsia="zh-CN"/>
              </w:rPr>
            </w:pPr>
            <w:r>
              <w:rPr>
                <w:rFonts w:hint="eastAsia" w:ascii="宋体" w:hAnsi="宋体" w:eastAsia="宋体" w:cs="宋体"/>
                <w:color w:val="000000"/>
                <w:kern w:val="2"/>
                <w:sz w:val="21"/>
                <w:szCs w:val="21"/>
                <w:highlight w:val="none"/>
                <w:lang w:val="en-US" w:eastAsia="zh-CN"/>
              </w:rPr>
              <w:t>业绩</w:t>
            </w:r>
          </w:p>
          <w:p w14:paraId="5C16F9A5">
            <w:pPr>
              <w:keepNext w:val="0"/>
              <w:keepLines w:val="0"/>
              <w:pageBreakBefore w:val="0"/>
              <w:widowControl w:val="0"/>
              <w:kinsoku/>
              <w:wordWrap/>
              <w:overflowPunct/>
              <w:topLinePunct w:val="0"/>
              <w:autoSpaceDE/>
              <w:autoSpaceDN/>
              <w:bidi w:val="0"/>
              <w:adjustRightInd/>
              <w:snapToGrid/>
              <w:spacing w:line="320" w:lineRule="exact"/>
              <w:ind w:left="21" w:leftChars="10" w:right="0" w:rightChars="0"/>
              <w:jc w:val="center"/>
              <w:textAlignment w:val="auto"/>
              <w:rPr>
                <w:rFonts w:hint="eastAsia" w:ascii="宋体" w:hAnsi="宋体" w:eastAsia="宋体" w:cs="宋体"/>
                <w:i/>
                <w:color w:val="000000"/>
                <w:kern w:val="2"/>
                <w:sz w:val="21"/>
                <w:szCs w:val="21"/>
                <w:highlight w:val="none"/>
                <w:lang w:eastAsia="zh-CN"/>
              </w:rPr>
            </w:pPr>
            <w:r>
              <w:rPr>
                <w:rFonts w:hint="eastAsia" w:ascii="宋体" w:hAnsi="宋体" w:eastAsia="宋体" w:cs="宋体"/>
                <w:color w:val="000000"/>
                <w:kern w:val="2"/>
                <w:sz w:val="21"/>
                <w:szCs w:val="21"/>
                <w:highlight w:val="none"/>
                <w:lang w:val="en-US" w:eastAsia="zh-CN"/>
              </w:rPr>
              <w:t>（</w:t>
            </w:r>
            <w:r>
              <w:rPr>
                <w:rFonts w:hint="default" w:ascii="宋体" w:hAnsi="宋体" w:eastAsia="宋体" w:cs="宋体"/>
                <w:color w:val="000000"/>
                <w:kern w:val="2"/>
                <w:sz w:val="21"/>
                <w:szCs w:val="21"/>
                <w:highlight w:val="none"/>
                <w:lang w:val="en-US" w:eastAsia="zh-CN"/>
              </w:rPr>
              <w:t>2</w:t>
            </w:r>
            <w:r>
              <w:rPr>
                <w:rFonts w:hint="eastAsia" w:ascii="宋体" w:hAnsi="宋体" w:eastAsia="宋体" w:cs="宋体"/>
                <w:color w:val="000000"/>
                <w:kern w:val="2"/>
                <w:sz w:val="21"/>
                <w:szCs w:val="21"/>
                <w:highlight w:val="none"/>
                <w:lang w:val="en-US" w:eastAsia="zh-CN"/>
              </w:rPr>
              <w:t>0</w:t>
            </w:r>
            <w:r>
              <w:rPr>
                <w:rFonts w:hint="eastAsia" w:ascii="宋体" w:hAnsi="宋体" w:eastAsia="宋体" w:cs="宋体"/>
                <w:color w:val="000000"/>
                <w:kern w:val="2"/>
                <w:sz w:val="21"/>
                <w:szCs w:val="21"/>
                <w:highlight w:val="none"/>
              </w:rPr>
              <w:t>分</w:t>
            </w:r>
            <w:r>
              <w:rPr>
                <w:rFonts w:hint="eastAsia" w:ascii="宋体" w:hAnsi="宋体" w:eastAsia="宋体" w:cs="宋体"/>
                <w:color w:val="000000"/>
                <w:kern w:val="2"/>
                <w:sz w:val="21"/>
                <w:szCs w:val="21"/>
                <w:highlight w:val="none"/>
                <w:lang w:eastAsia="zh-CN"/>
              </w:rPr>
              <w:t>）</w:t>
            </w:r>
          </w:p>
        </w:tc>
        <w:tc>
          <w:tcPr>
            <w:tcW w:w="6072" w:type="dxa"/>
            <w:tcBorders>
              <w:left w:val="single" w:color="auto" w:sz="4" w:space="0"/>
            </w:tcBorders>
            <w:vAlign w:val="center"/>
          </w:tcPr>
          <w:p w14:paraId="2DEF5342">
            <w:pPr>
              <w:keepNext w:val="0"/>
              <w:keepLines w:val="0"/>
              <w:pageBreakBefore w:val="0"/>
              <w:widowControl w:val="0"/>
              <w:kinsoku/>
              <w:wordWrap/>
              <w:overflowPunct w:val="0"/>
              <w:topLinePunct w:val="0"/>
              <w:autoSpaceDE/>
              <w:autoSpaceDN/>
              <w:bidi w:val="0"/>
              <w:adjustRightInd/>
              <w:snapToGrid/>
              <w:spacing w:line="320" w:lineRule="exact"/>
              <w:ind w:left="21" w:leftChars="10" w:right="0" w:rightChars="0"/>
              <w:jc w:val="both"/>
              <w:textAlignment w:val="auto"/>
              <w:rPr>
                <w:rFonts w:hint="eastAsia" w:ascii="宋体" w:hAnsi="宋体" w:eastAsia="宋体" w:cs="宋体"/>
                <w:color w:val="000000"/>
                <w:kern w:val="21"/>
                <w:sz w:val="21"/>
                <w:szCs w:val="21"/>
                <w:highlight w:val="none"/>
              </w:rPr>
            </w:pPr>
            <w:r>
              <w:rPr>
                <w:rFonts w:ascii="宋体" w:hAnsi="宋体" w:eastAsia="宋体" w:cs="宋体"/>
                <w:color w:val="000000"/>
                <w:kern w:val="21"/>
                <w:sz w:val="21"/>
                <w:szCs w:val="21"/>
                <w:highlight w:val="none"/>
              </w:rPr>
              <w:t>1</w:t>
            </w:r>
            <w:r>
              <w:rPr>
                <w:rFonts w:hint="eastAsia" w:ascii="宋体" w:hAnsi="宋体" w:eastAsia="宋体" w:cs="宋体"/>
                <w:color w:val="000000"/>
                <w:kern w:val="21"/>
                <w:sz w:val="21"/>
                <w:szCs w:val="21"/>
                <w:highlight w:val="none"/>
                <w:lang w:val="en-US" w:eastAsia="zh-CN"/>
              </w:rPr>
              <w:t>.</w:t>
            </w:r>
            <w:r>
              <w:rPr>
                <w:rFonts w:ascii="宋体" w:hAnsi="宋体" w:eastAsia="宋体" w:cs="宋体"/>
                <w:color w:val="000000"/>
                <w:kern w:val="21"/>
                <w:sz w:val="21"/>
                <w:szCs w:val="21"/>
                <w:highlight w:val="none"/>
              </w:rPr>
              <w:t>满足资格审查最低条件（业绩最低要求）的，得</w:t>
            </w:r>
            <w:r>
              <w:rPr>
                <w:rFonts w:hint="eastAsia" w:ascii="宋体" w:hAnsi="宋体" w:eastAsia="宋体" w:cs="宋体"/>
                <w:color w:val="000000"/>
                <w:kern w:val="21"/>
                <w:sz w:val="21"/>
                <w:szCs w:val="21"/>
                <w:highlight w:val="none"/>
                <w:lang w:val="en-US" w:eastAsia="zh-CN"/>
              </w:rPr>
              <w:t>12</w:t>
            </w:r>
            <w:r>
              <w:rPr>
                <w:rFonts w:hint="eastAsia" w:ascii="宋体" w:hAnsi="宋体" w:eastAsia="宋体" w:cs="宋体"/>
                <w:color w:val="000000"/>
                <w:kern w:val="21"/>
                <w:sz w:val="21"/>
                <w:szCs w:val="21"/>
                <w:highlight w:val="none"/>
              </w:rPr>
              <w:t>分；</w:t>
            </w:r>
          </w:p>
          <w:p w14:paraId="6DAC2153">
            <w:pPr>
              <w:keepNext w:val="0"/>
              <w:keepLines w:val="0"/>
              <w:pageBreakBefore w:val="0"/>
              <w:widowControl w:val="0"/>
              <w:numPr>
                <w:ilvl w:val="0"/>
                <w:numId w:val="0"/>
              </w:numPr>
              <w:kinsoku/>
              <w:wordWrap/>
              <w:overflowPunct/>
              <w:topLinePunct w:val="0"/>
              <w:bidi w:val="0"/>
              <w:snapToGrid w:val="0"/>
              <w:spacing w:line="320" w:lineRule="exact"/>
              <w:jc w:val="both"/>
              <w:textAlignment w:val="auto"/>
              <w:rPr>
                <w:rFonts w:hint="eastAsia" w:ascii="宋体" w:hAnsi="宋体" w:eastAsia="宋体" w:cs="宋体"/>
                <w:color w:val="000000"/>
                <w:kern w:val="21"/>
                <w:sz w:val="21"/>
                <w:szCs w:val="21"/>
                <w:highlight w:val="none"/>
              </w:rPr>
            </w:pPr>
            <w:r>
              <w:rPr>
                <w:rFonts w:ascii="宋体" w:hAnsi="宋体" w:eastAsia="宋体" w:cs="宋体"/>
                <w:color w:val="000000"/>
                <w:kern w:val="21"/>
                <w:sz w:val="21"/>
                <w:szCs w:val="21"/>
                <w:highlight w:val="none"/>
              </w:rPr>
              <w:t>2</w:t>
            </w:r>
            <w:r>
              <w:rPr>
                <w:rFonts w:hint="eastAsia" w:ascii="宋体" w:hAnsi="宋体" w:eastAsia="宋体" w:cs="宋体"/>
                <w:color w:val="000000"/>
                <w:kern w:val="21"/>
                <w:sz w:val="21"/>
                <w:szCs w:val="21"/>
                <w:highlight w:val="none"/>
                <w:lang w:eastAsia="zh-CN"/>
              </w:rPr>
              <w:t>.</w:t>
            </w:r>
            <w:r>
              <w:rPr>
                <w:rFonts w:hint="eastAsia" w:ascii="Times New Roman" w:hAnsi="Times New Roman" w:eastAsia="宋体" w:cs="Times New Roman"/>
                <w:color w:val="000000"/>
                <w:sz w:val="21"/>
                <w:szCs w:val="22"/>
                <w:highlight w:val="none"/>
                <w:lang w:val="en-US" w:eastAsia="zh-CN"/>
              </w:rPr>
              <w:t>投标人</w:t>
            </w:r>
            <w:r>
              <w:rPr>
                <w:rFonts w:hint="eastAsia" w:ascii="Times New Roman" w:hAnsi="Times New Roman" w:eastAsia="宋体" w:cs="Times New Roman"/>
                <w:color w:val="000000"/>
                <w:sz w:val="21"/>
                <w:szCs w:val="22"/>
                <w:highlight w:val="none"/>
                <w:lang w:eastAsia="zh-CN"/>
              </w:rPr>
              <w:t>近3年内(202</w:t>
            </w:r>
            <w:r>
              <w:rPr>
                <w:rFonts w:hint="eastAsia" w:ascii="Times New Roman" w:hAnsi="Times New Roman" w:eastAsia="宋体" w:cs="Times New Roman"/>
                <w:color w:val="000000"/>
                <w:sz w:val="21"/>
                <w:szCs w:val="22"/>
                <w:highlight w:val="none"/>
                <w:lang w:val="en-US" w:eastAsia="zh-CN"/>
              </w:rPr>
              <w:t>3</w:t>
            </w:r>
            <w:r>
              <w:rPr>
                <w:rFonts w:hint="eastAsia" w:ascii="Times New Roman" w:hAnsi="Times New Roman" w:eastAsia="宋体" w:cs="Times New Roman"/>
                <w:color w:val="000000"/>
                <w:sz w:val="21"/>
                <w:szCs w:val="22"/>
                <w:highlight w:val="none"/>
                <w:lang w:eastAsia="zh-CN"/>
              </w:rPr>
              <w:t>年</w:t>
            </w:r>
            <w:r>
              <w:rPr>
                <w:rFonts w:hint="eastAsia" w:ascii="Times New Roman" w:hAnsi="Times New Roman" w:eastAsia="宋体" w:cs="Times New Roman"/>
                <w:color w:val="000000"/>
                <w:sz w:val="21"/>
                <w:szCs w:val="22"/>
                <w:highlight w:val="none"/>
                <w:lang w:val="en-US" w:eastAsia="zh-CN"/>
              </w:rPr>
              <w:t>5月</w:t>
            </w:r>
            <w:r>
              <w:rPr>
                <w:rFonts w:hint="eastAsia" w:ascii="Times New Roman" w:hAnsi="Times New Roman" w:eastAsia="宋体" w:cs="Times New Roman"/>
                <w:color w:val="000000"/>
                <w:sz w:val="21"/>
                <w:szCs w:val="22"/>
                <w:highlight w:val="none"/>
                <w:lang w:eastAsia="zh-CN"/>
              </w:rPr>
              <w:t>1日至投标截止时间，以合同签订时间为准)，</w:t>
            </w:r>
            <w:r>
              <w:rPr>
                <w:rFonts w:hint="eastAsia" w:ascii="Times New Roman" w:hAnsi="Times New Roman" w:eastAsia="宋体" w:cs="Times New Roman"/>
                <w:color w:val="000000"/>
                <w:sz w:val="21"/>
                <w:szCs w:val="22"/>
                <w:highlight w:val="none"/>
                <w:lang w:val="en-US" w:eastAsia="zh-CN"/>
              </w:rPr>
              <w:t>每累计增加9辆所投品牌的皮卡车供货业绩加4分，</w:t>
            </w:r>
            <w:r>
              <w:rPr>
                <w:rFonts w:hint="eastAsia" w:ascii="宋体" w:hAnsi="宋体" w:eastAsia="宋体" w:cs="宋体"/>
                <w:color w:val="000000"/>
                <w:sz w:val="21"/>
                <w:szCs w:val="21"/>
                <w:highlight w:val="none"/>
                <w:lang w:eastAsia="zh-CN"/>
              </w:rPr>
              <w:t>本项</w:t>
            </w:r>
            <w:r>
              <w:rPr>
                <w:rFonts w:hint="eastAsia" w:ascii="宋体" w:hAnsi="宋体" w:eastAsia="宋体" w:cs="宋体"/>
                <w:color w:val="000000"/>
                <w:sz w:val="21"/>
                <w:szCs w:val="21"/>
                <w:highlight w:val="none"/>
              </w:rPr>
              <w:t>最多加</w:t>
            </w:r>
            <w:r>
              <w:rPr>
                <w:rFonts w:hint="eastAsia" w:ascii="宋体" w:hAnsi="宋体" w:eastAsia="宋体" w:cs="宋体"/>
                <w:color w:val="000000"/>
                <w:sz w:val="21"/>
                <w:szCs w:val="21"/>
                <w:highlight w:val="none"/>
                <w:lang w:val="en-US" w:eastAsia="zh-CN"/>
              </w:rPr>
              <w:t>8</w:t>
            </w:r>
            <w:r>
              <w:rPr>
                <w:rFonts w:hint="eastAsia" w:ascii="宋体" w:hAnsi="宋体" w:eastAsia="宋体" w:cs="宋体"/>
                <w:color w:val="000000"/>
                <w:sz w:val="21"/>
                <w:szCs w:val="21"/>
                <w:highlight w:val="none"/>
              </w:rPr>
              <w:t>分。</w:t>
            </w:r>
          </w:p>
        </w:tc>
      </w:tr>
      <w:tr w14:paraId="428584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40" w:hRule="atLeast"/>
          <w:jc w:val="center"/>
        </w:trPr>
        <w:tc>
          <w:tcPr>
            <w:tcW w:w="820" w:type="dxa"/>
            <w:vMerge w:val="restart"/>
            <w:vAlign w:val="center"/>
          </w:tcPr>
          <w:p w14:paraId="498654AD">
            <w:pPr>
              <w:keepNext w:val="0"/>
              <w:keepLines w:val="0"/>
              <w:pageBreakBefore w:val="0"/>
              <w:widowControl w:val="0"/>
              <w:kinsoku/>
              <w:wordWrap/>
              <w:overflowPunct/>
              <w:topLinePunct w:val="0"/>
              <w:autoSpaceDE/>
              <w:autoSpaceDN/>
              <w:bidi w:val="0"/>
              <w:adjustRightInd/>
              <w:snapToGrid/>
              <w:spacing w:line="320" w:lineRule="exact"/>
              <w:ind w:left="21" w:leftChars="10" w:right="0" w:rightChars="0"/>
              <w:jc w:val="center"/>
              <w:textAlignment w:val="auto"/>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2.2.4</w:t>
            </w:r>
          </w:p>
          <w:p w14:paraId="35BE5523">
            <w:pPr>
              <w:keepNext w:val="0"/>
              <w:keepLines w:val="0"/>
              <w:pageBreakBefore w:val="0"/>
              <w:widowControl w:val="0"/>
              <w:kinsoku/>
              <w:wordWrap/>
              <w:overflowPunct/>
              <w:topLinePunct w:val="0"/>
              <w:autoSpaceDE/>
              <w:autoSpaceDN/>
              <w:bidi w:val="0"/>
              <w:adjustRightInd/>
              <w:snapToGrid/>
              <w:spacing w:line="320" w:lineRule="exact"/>
              <w:ind w:left="21" w:leftChars="10" w:right="0" w:rightChars="0"/>
              <w:jc w:val="center"/>
              <w:textAlignment w:val="auto"/>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（2）</w:t>
            </w:r>
          </w:p>
        </w:tc>
        <w:tc>
          <w:tcPr>
            <w:tcW w:w="1263" w:type="dxa"/>
            <w:vMerge w:val="restart"/>
            <w:vAlign w:val="center"/>
          </w:tcPr>
          <w:p w14:paraId="1BBF937D">
            <w:pPr>
              <w:keepNext w:val="0"/>
              <w:keepLines w:val="0"/>
              <w:pageBreakBefore w:val="0"/>
              <w:widowControl w:val="0"/>
              <w:kinsoku/>
              <w:wordWrap/>
              <w:overflowPunct/>
              <w:topLinePunct w:val="0"/>
              <w:autoSpaceDE/>
              <w:autoSpaceDN/>
              <w:bidi w:val="0"/>
              <w:adjustRightInd/>
              <w:snapToGrid/>
              <w:spacing w:line="320" w:lineRule="exact"/>
              <w:ind w:left="21" w:leftChars="10" w:right="0" w:rightChars="0"/>
              <w:jc w:val="center"/>
              <w:textAlignment w:val="auto"/>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技术部分</w:t>
            </w:r>
            <w:r>
              <w:rPr>
                <w:rFonts w:hint="eastAsia" w:ascii="宋体" w:hAnsi="宋体" w:eastAsia="宋体" w:cs="宋体"/>
                <w:color w:val="000000"/>
                <w:sz w:val="21"/>
                <w:szCs w:val="21"/>
                <w:highlight w:val="none"/>
                <w:lang w:eastAsia="en-US"/>
              </w:rPr>
              <w:t>评分标准</w:t>
            </w:r>
            <w:r>
              <w:rPr>
                <w:rFonts w:hint="eastAsia" w:ascii="宋体" w:hAnsi="宋体" w:eastAsia="宋体" w:cs="宋体"/>
                <w:color w:val="000000"/>
                <w:sz w:val="21"/>
                <w:szCs w:val="21"/>
                <w:highlight w:val="none"/>
                <w:lang w:val="en-US" w:eastAsia="zh-CN"/>
              </w:rPr>
              <w:t>30分</w:t>
            </w:r>
          </w:p>
        </w:tc>
        <w:tc>
          <w:tcPr>
            <w:tcW w:w="1800" w:type="dxa"/>
            <w:tcBorders>
              <w:right w:val="single" w:color="auto" w:sz="4" w:space="0"/>
            </w:tcBorders>
            <w:vAlign w:val="center"/>
          </w:tcPr>
          <w:p w14:paraId="4D97BEE1">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000000"/>
                <w:kern w:val="0"/>
                <w:sz w:val="21"/>
                <w:szCs w:val="21"/>
                <w:highlight w:val="none"/>
                <w:lang w:val="en-US" w:eastAsia="en-US" w:bidi="ar-SA"/>
              </w:rPr>
            </w:pPr>
            <w:r>
              <w:rPr>
                <w:rFonts w:hint="eastAsia" w:ascii="宋体" w:hAnsi="宋体" w:eastAsia="宋体" w:cs="宋体"/>
                <w:color w:val="000000"/>
                <w:kern w:val="0"/>
                <w:sz w:val="21"/>
                <w:szCs w:val="21"/>
                <w:highlight w:val="none"/>
                <w:lang w:val="en-US" w:eastAsia="en-US" w:bidi="ar-SA"/>
              </w:rPr>
              <w:t>车辆主要配置及技术性能指标的响应程度评价</w:t>
            </w:r>
          </w:p>
          <w:p w14:paraId="48643D5A">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（15</w:t>
            </w:r>
            <w:r>
              <w:rPr>
                <w:rFonts w:hint="eastAsia" w:ascii="宋体" w:hAnsi="宋体" w:eastAsia="宋体" w:cs="宋体"/>
                <w:color w:val="000000"/>
                <w:kern w:val="2"/>
                <w:sz w:val="21"/>
                <w:szCs w:val="21"/>
                <w:highlight w:val="none"/>
                <w:lang w:val="en-US" w:eastAsia="en-US" w:bidi="ar-SA"/>
              </w:rPr>
              <w:t>分</w:t>
            </w:r>
            <w:r>
              <w:rPr>
                <w:rFonts w:hint="eastAsia" w:ascii="宋体" w:hAnsi="宋体" w:eastAsia="宋体" w:cs="宋体"/>
                <w:color w:val="000000"/>
                <w:kern w:val="2"/>
                <w:sz w:val="21"/>
                <w:szCs w:val="21"/>
                <w:highlight w:val="none"/>
                <w:lang w:val="en-US" w:eastAsia="zh-CN" w:bidi="ar-SA"/>
              </w:rPr>
              <w:t>）</w:t>
            </w:r>
          </w:p>
        </w:tc>
        <w:tc>
          <w:tcPr>
            <w:tcW w:w="6072" w:type="dxa"/>
            <w:tcBorders>
              <w:left w:val="single" w:color="auto" w:sz="4" w:space="0"/>
            </w:tcBorders>
            <w:vAlign w:val="top"/>
          </w:tcPr>
          <w:p w14:paraId="2D885F65">
            <w:pPr>
              <w:keepNext w:val="0"/>
              <w:keepLines w:val="0"/>
              <w:pageBreakBefore w:val="0"/>
              <w:widowControl w:val="0"/>
              <w:kinsoku/>
              <w:wordWrap/>
              <w:overflowPunct/>
              <w:topLinePunct w:val="0"/>
              <w:autoSpaceDE w:val="0"/>
              <w:autoSpaceDN w:val="0"/>
              <w:bidi w:val="0"/>
              <w:adjustRightInd w:val="0"/>
              <w:snapToGrid w:val="0"/>
              <w:spacing w:line="320" w:lineRule="exact"/>
              <w:jc w:val="both"/>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r>
              <w:rPr>
                <w:rFonts w:hint="eastAsia" w:ascii="宋体" w:hAnsi="宋体" w:eastAsia="宋体" w:cs="宋体"/>
                <w:color w:val="000000"/>
                <w:spacing w:val="12"/>
                <w:sz w:val="21"/>
                <w:szCs w:val="21"/>
                <w:highlight w:val="none"/>
              </w:rPr>
              <w:t>车辆功能配置齐全、实用性强、动力强劲、外观、内饰、工艺好，主要零部件的性能参数高</w:t>
            </w:r>
            <w:r>
              <w:rPr>
                <w:rFonts w:hint="eastAsia" w:ascii="宋体" w:hAnsi="宋体" w:eastAsia="宋体" w:cs="宋体"/>
                <w:color w:val="000000"/>
                <w:sz w:val="21"/>
                <w:szCs w:val="21"/>
                <w:highlight w:val="none"/>
              </w:rPr>
              <w:t>，得</w:t>
            </w:r>
            <w:r>
              <w:rPr>
                <w:rFonts w:hint="eastAsia" w:ascii="宋体" w:hAnsi="宋体" w:eastAsia="宋体" w:cs="宋体"/>
                <w:color w:val="000000"/>
                <w:sz w:val="21"/>
                <w:szCs w:val="21"/>
                <w:highlight w:val="none"/>
                <w:lang w:val="en-US" w:eastAsia="zh-CN"/>
              </w:rPr>
              <w:t>12</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15</w:t>
            </w:r>
            <w:r>
              <w:rPr>
                <w:rFonts w:hint="eastAsia" w:ascii="宋体" w:hAnsi="宋体" w:eastAsia="宋体" w:cs="宋体"/>
                <w:color w:val="000000"/>
                <w:sz w:val="21"/>
                <w:szCs w:val="21"/>
                <w:highlight w:val="none"/>
              </w:rPr>
              <w:t>分；</w:t>
            </w:r>
          </w:p>
          <w:p w14:paraId="06518757">
            <w:pPr>
              <w:keepNext w:val="0"/>
              <w:keepLines w:val="0"/>
              <w:pageBreakBefore w:val="0"/>
              <w:widowControl w:val="0"/>
              <w:kinsoku/>
              <w:wordWrap/>
              <w:overflowPunct/>
              <w:topLinePunct w:val="0"/>
              <w:autoSpaceDE w:val="0"/>
              <w:autoSpaceDN w:val="0"/>
              <w:bidi w:val="0"/>
              <w:adjustRightInd w:val="0"/>
              <w:snapToGrid w:val="0"/>
              <w:spacing w:line="320" w:lineRule="exact"/>
              <w:jc w:val="both"/>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r>
              <w:rPr>
                <w:rFonts w:hint="eastAsia" w:ascii="宋体" w:hAnsi="宋体" w:eastAsia="宋体" w:cs="宋体"/>
                <w:color w:val="000000"/>
                <w:spacing w:val="12"/>
                <w:sz w:val="21"/>
                <w:szCs w:val="21"/>
                <w:highlight w:val="none"/>
              </w:rPr>
              <w:t>车辆功能配置较齐全、实用性较强、动力较强、外观、内饰、工艺较好，主要零部件的性能参数较高</w:t>
            </w:r>
            <w:r>
              <w:rPr>
                <w:rFonts w:hint="eastAsia" w:ascii="宋体" w:hAnsi="宋体" w:eastAsia="宋体" w:cs="宋体"/>
                <w:color w:val="000000"/>
                <w:sz w:val="21"/>
                <w:szCs w:val="21"/>
                <w:highlight w:val="none"/>
              </w:rPr>
              <w:t>，得</w:t>
            </w:r>
            <w:r>
              <w:rPr>
                <w:rFonts w:hint="eastAsia" w:ascii="宋体" w:hAnsi="宋体" w:eastAsia="宋体" w:cs="宋体"/>
                <w:color w:val="000000"/>
                <w:sz w:val="21"/>
                <w:szCs w:val="21"/>
                <w:highlight w:val="none"/>
                <w:lang w:val="en-US" w:eastAsia="zh-CN"/>
              </w:rPr>
              <w:t>9-12</w:t>
            </w:r>
            <w:r>
              <w:rPr>
                <w:rFonts w:hint="eastAsia" w:ascii="宋体" w:hAnsi="宋体" w:eastAsia="宋体" w:cs="宋体"/>
                <w:color w:val="000000"/>
                <w:sz w:val="21"/>
                <w:szCs w:val="21"/>
                <w:highlight w:val="none"/>
              </w:rPr>
              <w:t>分；</w:t>
            </w:r>
          </w:p>
          <w:p w14:paraId="4681EC08">
            <w:pPr>
              <w:keepNext w:val="0"/>
              <w:keepLines w:val="0"/>
              <w:pageBreakBefore w:val="0"/>
              <w:widowControl w:val="0"/>
              <w:kinsoku/>
              <w:wordWrap/>
              <w:overflowPunct/>
              <w:topLinePunct w:val="0"/>
              <w:autoSpaceDE w:val="0"/>
              <w:autoSpaceDN w:val="0"/>
              <w:bidi w:val="0"/>
              <w:adjustRightInd w:val="0"/>
              <w:snapToGrid w:val="0"/>
              <w:spacing w:line="320" w:lineRule="exact"/>
              <w:jc w:val="both"/>
              <w:textAlignment w:val="auto"/>
              <w:rPr>
                <w:rFonts w:hint="eastAsia" w:ascii="宋体" w:hAnsi="宋体" w:eastAsia="宋体" w:cs="宋体"/>
                <w:i/>
                <w:color w:val="000000"/>
                <w:kern w:val="21"/>
                <w:sz w:val="21"/>
                <w:szCs w:val="21"/>
                <w:highlight w:val="none"/>
                <w:lang w:eastAsia="zh-CN"/>
              </w:rPr>
            </w:pPr>
            <w:r>
              <w:rPr>
                <w:rFonts w:hint="eastAsia" w:ascii="宋体" w:hAnsi="宋体" w:eastAsia="宋体" w:cs="宋体"/>
                <w:color w:val="000000"/>
                <w:sz w:val="21"/>
                <w:szCs w:val="21"/>
                <w:highlight w:val="none"/>
              </w:rPr>
              <w:t>3.</w:t>
            </w:r>
            <w:r>
              <w:rPr>
                <w:rFonts w:hint="eastAsia" w:ascii="宋体" w:hAnsi="宋体" w:eastAsia="宋体" w:cs="宋体"/>
                <w:color w:val="000000"/>
                <w:spacing w:val="12"/>
                <w:sz w:val="21"/>
                <w:szCs w:val="21"/>
                <w:highlight w:val="none"/>
              </w:rPr>
              <w:t>车辆功能配置一般、实用性一般、动力一般、外观、内饰、工艺一般，主要零部件的性能参数一般</w:t>
            </w:r>
            <w:r>
              <w:rPr>
                <w:rFonts w:hint="eastAsia" w:ascii="宋体" w:hAnsi="宋体" w:eastAsia="宋体" w:cs="宋体"/>
                <w:color w:val="000000"/>
                <w:sz w:val="21"/>
                <w:szCs w:val="21"/>
                <w:highlight w:val="none"/>
              </w:rPr>
              <w:t>，得</w:t>
            </w:r>
            <w:r>
              <w:rPr>
                <w:rFonts w:hint="eastAsia" w:ascii="宋体" w:hAnsi="宋体" w:eastAsia="宋体" w:cs="宋体"/>
                <w:color w:val="000000"/>
                <w:sz w:val="21"/>
                <w:szCs w:val="21"/>
                <w:highlight w:val="none"/>
                <w:lang w:val="en-US" w:eastAsia="zh-CN"/>
              </w:rPr>
              <w:t>9</w:t>
            </w:r>
            <w:r>
              <w:rPr>
                <w:rFonts w:hint="eastAsia" w:ascii="宋体" w:hAnsi="宋体" w:eastAsia="宋体" w:cs="宋体"/>
                <w:color w:val="000000"/>
                <w:sz w:val="21"/>
                <w:szCs w:val="21"/>
                <w:highlight w:val="none"/>
              </w:rPr>
              <w:t>分。</w:t>
            </w:r>
          </w:p>
        </w:tc>
      </w:tr>
      <w:tr w14:paraId="17B917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60" w:hRule="atLeast"/>
          <w:jc w:val="center"/>
        </w:trPr>
        <w:tc>
          <w:tcPr>
            <w:tcW w:w="820" w:type="dxa"/>
            <w:vMerge w:val="continue"/>
            <w:tcBorders>
              <w:top w:val="nil"/>
            </w:tcBorders>
          </w:tcPr>
          <w:p w14:paraId="1423D1E1">
            <w:pPr>
              <w:keepNext w:val="0"/>
              <w:keepLines w:val="0"/>
              <w:pageBreakBefore w:val="0"/>
              <w:widowControl w:val="0"/>
              <w:kinsoku/>
              <w:wordWrap/>
              <w:overflowPunct/>
              <w:topLinePunct w:val="0"/>
              <w:autoSpaceDE/>
              <w:autoSpaceDN/>
              <w:bidi w:val="0"/>
              <w:adjustRightInd/>
              <w:snapToGrid/>
              <w:spacing w:line="320" w:lineRule="exact"/>
              <w:ind w:left="21" w:leftChars="10" w:right="0" w:rightChars="0"/>
              <w:jc w:val="both"/>
              <w:textAlignment w:val="auto"/>
              <w:rPr>
                <w:rFonts w:hint="eastAsia" w:ascii="宋体" w:hAnsi="宋体" w:eastAsia="宋体" w:cs="宋体"/>
                <w:color w:val="000000"/>
                <w:kern w:val="2"/>
                <w:sz w:val="21"/>
                <w:szCs w:val="21"/>
                <w:highlight w:val="none"/>
              </w:rPr>
            </w:pPr>
          </w:p>
        </w:tc>
        <w:tc>
          <w:tcPr>
            <w:tcW w:w="1263" w:type="dxa"/>
            <w:vMerge w:val="continue"/>
            <w:tcBorders>
              <w:top w:val="nil"/>
            </w:tcBorders>
          </w:tcPr>
          <w:p w14:paraId="59E82ECE">
            <w:pPr>
              <w:keepNext w:val="0"/>
              <w:keepLines w:val="0"/>
              <w:pageBreakBefore w:val="0"/>
              <w:widowControl w:val="0"/>
              <w:kinsoku/>
              <w:wordWrap/>
              <w:overflowPunct/>
              <w:topLinePunct w:val="0"/>
              <w:autoSpaceDE/>
              <w:autoSpaceDN/>
              <w:bidi w:val="0"/>
              <w:adjustRightInd/>
              <w:snapToGrid/>
              <w:spacing w:line="320" w:lineRule="exact"/>
              <w:ind w:left="21" w:leftChars="10" w:right="0" w:rightChars="0"/>
              <w:jc w:val="both"/>
              <w:textAlignment w:val="auto"/>
              <w:rPr>
                <w:rFonts w:hint="eastAsia" w:ascii="宋体" w:hAnsi="宋体" w:eastAsia="宋体" w:cs="宋体"/>
                <w:color w:val="000000"/>
                <w:kern w:val="2"/>
                <w:sz w:val="21"/>
                <w:szCs w:val="21"/>
                <w:highlight w:val="none"/>
              </w:rPr>
            </w:pPr>
          </w:p>
        </w:tc>
        <w:tc>
          <w:tcPr>
            <w:tcW w:w="1800" w:type="dxa"/>
            <w:vAlign w:val="center"/>
          </w:tcPr>
          <w:p w14:paraId="54A9FB35">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000000"/>
                <w:kern w:val="0"/>
                <w:sz w:val="21"/>
                <w:szCs w:val="21"/>
                <w:highlight w:val="none"/>
                <w:lang w:val="en-US" w:eastAsia="en-US" w:bidi="ar-SA"/>
              </w:rPr>
            </w:pPr>
            <w:r>
              <w:rPr>
                <w:rFonts w:hint="eastAsia" w:ascii="宋体" w:hAnsi="宋体" w:eastAsia="宋体" w:cs="宋体"/>
                <w:color w:val="000000"/>
                <w:kern w:val="0"/>
                <w:sz w:val="21"/>
                <w:szCs w:val="21"/>
                <w:highlight w:val="none"/>
                <w:lang w:val="en-US" w:eastAsia="en-US" w:bidi="ar-SA"/>
              </w:rPr>
              <w:t>交货期服务方案及服务能力评价</w:t>
            </w:r>
          </w:p>
          <w:p w14:paraId="36C68A0C">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（5</w:t>
            </w:r>
            <w:r>
              <w:rPr>
                <w:rFonts w:hint="eastAsia" w:ascii="宋体" w:hAnsi="宋体" w:eastAsia="宋体" w:cs="宋体"/>
                <w:color w:val="000000"/>
                <w:kern w:val="2"/>
                <w:sz w:val="21"/>
                <w:szCs w:val="21"/>
                <w:highlight w:val="none"/>
                <w:lang w:val="en-US" w:eastAsia="en-US" w:bidi="ar-SA"/>
              </w:rPr>
              <w:t>分</w:t>
            </w:r>
            <w:r>
              <w:rPr>
                <w:rFonts w:hint="eastAsia" w:ascii="宋体" w:hAnsi="宋体" w:eastAsia="宋体" w:cs="宋体"/>
                <w:color w:val="000000"/>
                <w:kern w:val="2"/>
                <w:sz w:val="21"/>
                <w:szCs w:val="21"/>
                <w:highlight w:val="none"/>
                <w:lang w:val="en-US" w:eastAsia="zh-CN" w:bidi="ar-SA"/>
              </w:rPr>
              <w:t>）</w:t>
            </w:r>
          </w:p>
          <w:p w14:paraId="2E6562AF">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000000"/>
                <w:kern w:val="21"/>
                <w:sz w:val="21"/>
                <w:szCs w:val="21"/>
                <w:highlight w:val="none"/>
                <w:lang w:val="en-US" w:eastAsia="en-US" w:bidi="ar-SA"/>
              </w:rPr>
            </w:pPr>
            <w:r>
              <w:rPr>
                <w:rFonts w:hint="eastAsia" w:ascii="宋体" w:hAnsi="宋体" w:eastAsia="宋体" w:cs="宋体"/>
                <w:color w:val="000000"/>
                <w:kern w:val="2"/>
                <w:sz w:val="21"/>
                <w:szCs w:val="21"/>
                <w:highlight w:val="none"/>
                <w:lang w:val="en-US" w:eastAsia="zh-CN" w:bidi="ar-SA"/>
              </w:rPr>
              <w:t>（暗标）</w:t>
            </w:r>
          </w:p>
        </w:tc>
        <w:tc>
          <w:tcPr>
            <w:tcW w:w="6072" w:type="dxa"/>
            <w:vAlign w:val="top"/>
          </w:tcPr>
          <w:p w14:paraId="6FAE7DD6">
            <w:pPr>
              <w:keepNext w:val="0"/>
              <w:keepLines w:val="0"/>
              <w:pageBreakBefore w:val="0"/>
              <w:widowControl w:val="0"/>
              <w:kinsoku/>
              <w:wordWrap/>
              <w:overflowPunct/>
              <w:topLinePunct w:val="0"/>
              <w:bidi w:val="0"/>
              <w:snapToGrid w:val="0"/>
              <w:spacing w:line="320" w:lineRule="exact"/>
              <w:jc w:val="both"/>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r>
              <w:rPr>
                <w:rFonts w:hint="eastAsia" w:ascii="宋体" w:hAnsi="宋体" w:eastAsia="宋体" w:cs="宋体"/>
                <w:color w:val="000000"/>
                <w:spacing w:val="12"/>
                <w:sz w:val="21"/>
                <w:szCs w:val="21"/>
                <w:highlight w:val="none"/>
              </w:rPr>
              <w:t>配送及时、安全可靠、有良好的相关配套增值服务方案</w:t>
            </w:r>
            <w:r>
              <w:rPr>
                <w:rFonts w:hint="eastAsia" w:ascii="宋体" w:hAnsi="宋体" w:eastAsia="宋体" w:cs="宋体"/>
                <w:color w:val="000000"/>
                <w:sz w:val="21"/>
                <w:szCs w:val="21"/>
                <w:highlight w:val="none"/>
              </w:rPr>
              <w:t>，得</w:t>
            </w:r>
            <w:r>
              <w:rPr>
                <w:rFonts w:hint="eastAsia" w:ascii="宋体" w:hAnsi="宋体" w:eastAsia="宋体" w:cs="宋体"/>
                <w:color w:val="000000"/>
                <w:sz w:val="21"/>
                <w:szCs w:val="21"/>
                <w:highlight w:val="none"/>
                <w:lang w:val="en-US" w:eastAsia="zh-CN"/>
              </w:rPr>
              <w:t>4</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5</w:t>
            </w:r>
            <w:r>
              <w:rPr>
                <w:rFonts w:hint="eastAsia" w:ascii="宋体" w:hAnsi="宋体" w:eastAsia="宋体" w:cs="宋体"/>
                <w:color w:val="000000"/>
                <w:sz w:val="21"/>
                <w:szCs w:val="21"/>
                <w:highlight w:val="none"/>
              </w:rPr>
              <w:t>分；</w:t>
            </w:r>
          </w:p>
          <w:p w14:paraId="0D9A0AB0">
            <w:pPr>
              <w:keepNext w:val="0"/>
              <w:keepLines w:val="0"/>
              <w:pageBreakBefore w:val="0"/>
              <w:widowControl w:val="0"/>
              <w:kinsoku/>
              <w:wordWrap/>
              <w:overflowPunct/>
              <w:topLinePunct w:val="0"/>
              <w:bidi w:val="0"/>
              <w:snapToGrid w:val="0"/>
              <w:spacing w:line="320" w:lineRule="exact"/>
              <w:jc w:val="both"/>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r>
              <w:rPr>
                <w:rFonts w:hint="eastAsia" w:ascii="宋体" w:hAnsi="宋体" w:eastAsia="宋体" w:cs="宋体"/>
                <w:color w:val="000000"/>
                <w:spacing w:val="12"/>
                <w:sz w:val="21"/>
                <w:szCs w:val="21"/>
                <w:highlight w:val="none"/>
              </w:rPr>
              <w:t>配送较及时、较安全可靠、有较好的相关配套增值服务方案</w:t>
            </w:r>
            <w:r>
              <w:rPr>
                <w:rFonts w:hint="eastAsia" w:ascii="宋体" w:hAnsi="宋体" w:eastAsia="宋体" w:cs="宋体"/>
                <w:color w:val="000000"/>
                <w:sz w:val="21"/>
                <w:szCs w:val="21"/>
                <w:highlight w:val="none"/>
              </w:rPr>
              <w:t>，得</w:t>
            </w:r>
            <w:r>
              <w:rPr>
                <w:rFonts w:hint="eastAsia" w:ascii="宋体" w:hAnsi="宋体" w:eastAsia="宋体" w:cs="宋体"/>
                <w:color w:val="000000"/>
                <w:sz w:val="21"/>
                <w:szCs w:val="21"/>
                <w:highlight w:val="none"/>
                <w:lang w:val="en-US" w:eastAsia="zh-CN"/>
              </w:rPr>
              <w:t>3</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4</w:t>
            </w:r>
            <w:r>
              <w:rPr>
                <w:rFonts w:hint="eastAsia" w:ascii="宋体" w:hAnsi="宋体" w:eastAsia="宋体" w:cs="宋体"/>
                <w:color w:val="000000"/>
                <w:sz w:val="21"/>
                <w:szCs w:val="21"/>
                <w:highlight w:val="none"/>
              </w:rPr>
              <w:t>分；</w:t>
            </w:r>
          </w:p>
          <w:p w14:paraId="63B988A1">
            <w:pPr>
              <w:keepNext w:val="0"/>
              <w:keepLines w:val="0"/>
              <w:pageBreakBefore w:val="0"/>
              <w:widowControl w:val="0"/>
              <w:kinsoku/>
              <w:wordWrap/>
              <w:overflowPunct/>
              <w:topLinePunct w:val="0"/>
              <w:bidi w:val="0"/>
              <w:snapToGrid w:val="0"/>
              <w:spacing w:line="320" w:lineRule="exact"/>
              <w:jc w:val="both"/>
              <w:textAlignment w:val="auto"/>
              <w:rPr>
                <w:rFonts w:hint="eastAsia" w:ascii="宋体" w:hAnsi="宋体" w:eastAsia="宋体" w:cs="宋体"/>
                <w:color w:val="000000"/>
                <w:kern w:val="21"/>
                <w:sz w:val="21"/>
                <w:szCs w:val="21"/>
                <w:highlight w:val="none"/>
                <w:lang w:eastAsia="zh-CN"/>
              </w:rPr>
            </w:pPr>
            <w:r>
              <w:rPr>
                <w:rFonts w:hint="eastAsia" w:ascii="宋体" w:hAnsi="宋体" w:eastAsia="宋体" w:cs="宋体"/>
                <w:color w:val="000000"/>
                <w:sz w:val="21"/>
                <w:szCs w:val="21"/>
                <w:highlight w:val="none"/>
              </w:rPr>
              <w:t>3.</w:t>
            </w:r>
            <w:r>
              <w:rPr>
                <w:rFonts w:hint="eastAsia" w:ascii="宋体" w:hAnsi="宋体" w:eastAsia="宋体" w:cs="宋体"/>
                <w:color w:val="000000"/>
                <w:spacing w:val="12"/>
                <w:sz w:val="21"/>
                <w:szCs w:val="21"/>
                <w:highlight w:val="none"/>
              </w:rPr>
              <w:t>配送时效性一般、安全可靠性一般、相关配套增值服务方案一般</w:t>
            </w:r>
            <w:r>
              <w:rPr>
                <w:rFonts w:hint="eastAsia" w:ascii="宋体" w:hAnsi="宋体" w:eastAsia="宋体" w:cs="宋体"/>
                <w:color w:val="000000"/>
                <w:sz w:val="21"/>
                <w:szCs w:val="21"/>
                <w:highlight w:val="none"/>
              </w:rPr>
              <w:t>，得</w:t>
            </w:r>
            <w:r>
              <w:rPr>
                <w:rFonts w:hint="eastAsia" w:ascii="宋体" w:hAnsi="宋体" w:eastAsia="宋体" w:cs="宋体"/>
                <w:color w:val="000000"/>
                <w:sz w:val="21"/>
                <w:szCs w:val="21"/>
                <w:highlight w:val="none"/>
                <w:lang w:val="en-US" w:eastAsia="zh-CN"/>
              </w:rPr>
              <w:t>3</w:t>
            </w:r>
            <w:r>
              <w:rPr>
                <w:rFonts w:hint="eastAsia" w:ascii="宋体" w:hAnsi="宋体" w:eastAsia="宋体" w:cs="宋体"/>
                <w:color w:val="000000"/>
                <w:sz w:val="21"/>
                <w:szCs w:val="21"/>
                <w:highlight w:val="none"/>
              </w:rPr>
              <w:t>分。</w:t>
            </w:r>
          </w:p>
        </w:tc>
      </w:tr>
      <w:tr w14:paraId="75A6BE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50" w:hRule="atLeast"/>
          <w:jc w:val="center"/>
        </w:trPr>
        <w:tc>
          <w:tcPr>
            <w:tcW w:w="820" w:type="dxa"/>
            <w:vMerge w:val="continue"/>
            <w:tcBorders>
              <w:top w:val="nil"/>
            </w:tcBorders>
          </w:tcPr>
          <w:p w14:paraId="0D68C42F">
            <w:pPr>
              <w:keepNext w:val="0"/>
              <w:keepLines w:val="0"/>
              <w:pageBreakBefore w:val="0"/>
              <w:widowControl w:val="0"/>
              <w:kinsoku/>
              <w:wordWrap/>
              <w:overflowPunct/>
              <w:topLinePunct w:val="0"/>
              <w:autoSpaceDE/>
              <w:autoSpaceDN/>
              <w:bidi w:val="0"/>
              <w:adjustRightInd/>
              <w:snapToGrid/>
              <w:spacing w:line="320" w:lineRule="exact"/>
              <w:ind w:left="21" w:leftChars="10" w:right="0" w:rightChars="0"/>
              <w:jc w:val="both"/>
              <w:textAlignment w:val="auto"/>
              <w:rPr>
                <w:rFonts w:hint="eastAsia" w:ascii="宋体" w:hAnsi="宋体" w:eastAsia="宋体" w:cs="宋体"/>
                <w:color w:val="000000"/>
                <w:kern w:val="2"/>
                <w:sz w:val="21"/>
                <w:szCs w:val="21"/>
                <w:highlight w:val="none"/>
              </w:rPr>
            </w:pPr>
          </w:p>
        </w:tc>
        <w:tc>
          <w:tcPr>
            <w:tcW w:w="1263" w:type="dxa"/>
            <w:vMerge w:val="continue"/>
            <w:tcBorders>
              <w:top w:val="nil"/>
            </w:tcBorders>
          </w:tcPr>
          <w:p w14:paraId="24CE6A8F">
            <w:pPr>
              <w:keepNext w:val="0"/>
              <w:keepLines w:val="0"/>
              <w:pageBreakBefore w:val="0"/>
              <w:widowControl w:val="0"/>
              <w:kinsoku/>
              <w:wordWrap/>
              <w:overflowPunct/>
              <w:topLinePunct w:val="0"/>
              <w:autoSpaceDE/>
              <w:autoSpaceDN/>
              <w:bidi w:val="0"/>
              <w:adjustRightInd/>
              <w:snapToGrid/>
              <w:spacing w:line="320" w:lineRule="exact"/>
              <w:ind w:left="21" w:leftChars="10" w:right="0" w:rightChars="0"/>
              <w:jc w:val="both"/>
              <w:textAlignment w:val="auto"/>
              <w:rPr>
                <w:rFonts w:hint="eastAsia" w:ascii="宋体" w:hAnsi="宋体" w:eastAsia="宋体" w:cs="宋体"/>
                <w:color w:val="000000"/>
                <w:kern w:val="2"/>
                <w:sz w:val="21"/>
                <w:szCs w:val="21"/>
                <w:highlight w:val="none"/>
              </w:rPr>
            </w:pPr>
          </w:p>
        </w:tc>
        <w:tc>
          <w:tcPr>
            <w:tcW w:w="1800" w:type="dxa"/>
            <w:vAlign w:val="center"/>
          </w:tcPr>
          <w:p w14:paraId="498D1044">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000000"/>
                <w:kern w:val="0"/>
                <w:sz w:val="21"/>
                <w:szCs w:val="21"/>
                <w:highlight w:val="none"/>
                <w:lang w:val="en-US" w:eastAsia="en-US" w:bidi="ar-SA"/>
              </w:rPr>
            </w:pPr>
            <w:r>
              <w:rPr>
                <w:rFonts w:hint="eastAsia" w:ascii="宋体" w:hAnsi="宋体" w:eastAsia="宋体" w:cs="宋体"/>
                <w:color w:val="000000"/>
                <w:kern w:val="0"/>
                <w:sz w:val="21"/>
                <w:szCs w:val="21"/>
                <w:highlight w:val="none"/>
                <w:lang w:val="en-US" w:eastAsia="en-US" w:bidi="ar-SA"/>
              </w:rPr>
              <w:t>技术服务和质保期服务能力的评价</w:t>
            </w:r>
          </w:p>
          <w:p w14:paraId="1EBCC03A">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（10</w:t>
            </w:r>
            <w:r>
              <w:rPr>
                <w:rFonts w:hint="eastAsia" w:ascii="宋体" w:hAnsi="宋体" w:eastAsia="宋体" w:cs="宋体"/>
                <w:color w:val="000000"/>
                <w:kern w:val="2"/>
                <w:sz w:val="21"/>
                <w:szCs w:val="21"/>
                <w:highlight w:val="none"/>
                <w:lang w:val="en-US" w:eastAsia="en-US" w:bidi="ar-SA"/>
              </w:rPr>
              <w:t>分</w:t>
            </w:r>
            <w:r>
              <w:rPr>
                <w:rFonts w:hint="eastAsia" w:ascii="宋体" w:hAnsi="宋体" w:eastAsia="宋体" w:cs="宋体"/>
                <w:color w:val="000000"/>
                <w:kern w:val="2"/>
                <w:sz w:val="21"/>
                <w:szCs w:val="21"/>
                <w:highlight w:val="none"/>
                <w:lang w:val="en-US" w:eastAsia="zh-CN" w:bidi="ar-SA"/>
              </w:rPr>
              <w:t>）</w:t>
            </w:r>
          </w:p>
          <w:p w14:paraId="1FABBA6B">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color w:val="000000"/>
                <w:kern w:val="0"/>
                <w:sz w:val="21"/>
                <w:szCs w:val="21"/>
                <w:highlight w:val="none"/>
                <w:lang w:val="en-US" w:eastAsia="en-US" w:bidi="ar-SA"/>
              </w:rPr>
            </w:pPr>
            <w:r>
              <w:rPr>
                <w:rFonts w:hint="eastAsia" w:ascii="宋体" w:hAnsi="宋体" w:eastAsia="宋体" w:cs="宋体"/>
                <w:color w:val="000000"/>
                <w:kern w:val="2"/>
                <w:sz w:val="21"/>
                <w:szCs w:val="21"/>
                <w:highlight w:val="none"/>
                <w:lang w:val="en-US" w:eastAsia="zh-CN" w:bidi="ar-SA"/>
              </w:rPr>
              <w:t>（暗标）</w:t>
            </w:r>
          </w:p>
        </w:tc>
        <w:tc>
          <w:tcPr>
            <w:tcW w:w="6072" w:type="dxa"/>
            <w:vAlign w:val="center"/>
          </w:tcPr>
          <w:p w14:paraId="44B4B30D">
            <w:pPr>
              <w:keepNext w:val="0"/>
              <w:keepLines w:val="0"/>
              <w:pageBreakBefore w:val="0"/>
              <w:widowControl w:val="0"/>
              <w:kinsoku/>
              <w:wordWrap/>
              <w:overflowPunct/>
              <w:topLinePunct w:val="0"/>
              <w:autoSpaceDE w:val="0"/>
              <w:autoSpaceDN w:val="0"/>
              <w:bidi w:val="0"/>
              <w:adjustRightInd w:val="0"/>
              <w:snapToGrid w:val="0"/>
              <w:spacing w:line="320" w:lineRule="exact"/>
              <w:jc w:val="both"/>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1.</w:t>
            </w:r>
            <w:r>
              <w:rPr>
                <w:rFonts w:hint="eastAsia" w:ascii="宋体" w:hAnsi="宋体" w:eastAsia="宋体" w:cs="宋体"/>
                <w:color w:val="000000"/>
                <w:sz w:val="21"/>
                <w:szCs w:val="21"/>
                <w:highlight w:val="none"/>
                <w:lang w:val="zh-CN"/>
              </w:rPr>
              <w:t>技术服务能力、维保能力强，优惠政策好、有良好的保养检测等售后服务，得</w:t>
            </w:r>
            <w:r>
              <w:rPr>
                <w:rFonts w:hint="eastAsia" w:ascii="宋体" w:hAnsi="宋体" w:eastAsia="宋体" w:cs="宋体"/>
                <w:color w:val="000000"/>
                <w:sz w:val="21"/>
                <w:szCs w:val="21"/>
                <w:highlight w:val="none"/>
                <w:lang w:val="en-US" w:eastAsia="zh-CN"/>
              </w:rPr>
              <w:t>8</w:t>
            </w:r>
            <w:r>
              <w:rPr>
                <w:rFonts w:hint="eastAsia" w:ascii="宋体" w:hAnsi="宋体" w:eastAsia="宋体" w:cs="宋体"/>
                <w:color w:val="000000"/>
                <w:sz w:val="21"/>
                <w:szCs w:val="21"/>
                <w:highlight w:val="none"/>
                <w:lang w:val="zh-CN"/>
              </w:rPr>
              <w:t>-</w:t>
            </w:r>
            <w:r>
              <w:rPr>
                <w:rFonts w:hint="eastAsia" w:ascii="宋体" w:hAnsi="宋体" w:eastAsia="宋体" w:cs="宋体"/>
                <w:color w:val="000000"/>
                <w:sz w:val="21"/>
                <w:szCs w:val="21"/>
                <w:highlight w:val="none"/>
                <w:lang w:val="en-US" w:eastAsia="zh-CN"/>
              </w:rPr>
              <w:t>10</w:t>
            </w:r>
            <w:r>
              <w:rPr>
                <w:rFonts w:hint="eastAsia" w:ascii="宋体" w:hAnsi="宋体" w:eastAsia="宋体" w:cs="宋体"/>
                <w:color w:val="000000"/>
                <w:sz w:val="21"/>
                <w:szCs w:val="21"/>
                <w:highlight w:val="none"/>
                <w:lang w:val="zh-CN"/>
              </w:rPr>
              <w:t>分；</w:t>
            </w:r>
          </w:p>
          <w:p w14:paraId="324B8076">
            <w:pPr>
              <w:keepNext w:val="0"/>
              <w:keepLines w:val="0"/>
              <w:pageBreakBefore w:val="0"/>
              <w:widowControl w:val="0"/>
              <w:kinsoku/>
              <w:wordWrap/>
              <w:overflowPunct/>
              <w:topLinePunct w:val="0"/>
              <w:bidi w:val="0"/>
              <w:snapToGrid w:val="0"/>
              <w:spacing w:line="320" w:lineRule="exact"/>
              <w:textAlignment w:val="auto"/>
              <w:rPr>
                <w:rFonts w:hint="eastAsia" w:ascii="宋体" w:hAnsi="宋体" w:eastAsia="宋体" w:cs="宋体"/>
                <w:color w:val="000000"/>
                <w:sz w:val="21"/>
                <w:szCs w:val="21"/>
                <w:highlight w:val="none"/>
              </w:rPr>
            </w:pPr>
            <w:r>
              <w:rPr>
                <w:rFonts w:hint="eastAsia" w:ascii="宋体" w:hAnsi="宋体" w:eastAsia="宋体" w:cs="宋体"/>
                <w:color w:val="000000"/>
                <w:spacing w:val="12"/>
                <w:sz w:val="21"/>
                <w:szCs w:val="21"/>
                <w:highlight w:val="none"/>
                <w:lang w:val="en-US" w:eastAsia="zh-CN"/>
              </w:rPr>
              <w:t>2.</w:t>
            </w:r>
            <w:r>
              <w:rPr>
                <w:rFonts w:hint="eastAsia" w:ascii="宋体" w:hAnsi="宋体" w:eastAsia="宋体" w:cs="宋体"/>
                <w:color w:val="000000"/>
                <w:spacing w:val="12"/>
                <w:sz w:val="21"/>
                <w:szCs w:val="21"/>
                <w:highlight w:val="none"/>
              </w:rPr>
              <w:t>技术服务能力、维保能力较强，优惠政策较好、有较好的保养检测等售后服务</w:t>
            </w:r>
            <w:r>
              <w:rPr>
                <w:rFonts w:hint="eastAsia" w:ascii="宋体" w:hAnsi="宋体" w:eastAsia="宋体" w:cs="宋体"/>
                <w:color w:val="000000"/>
                <w:sz w:val="21"/>
                <w:szCs w:val="21"/>
                <w:highlight w:val="none"/>
                <w:lang w:val="zh-CN"/>
              </w:rPr>
              <w:t>，得</w:t>
            </w:r>
            <w:r>
              <w:rPr>
                <w:rFonts w:hint="eastAsia" w:ascii="宋体" w:hAnsi="宋体" w:eastAsia="宋体" w:cs="宋体"/>
                <w:color w:val="000000"/>
                <w:sz w:val="21"/>
                <w:szCs w:val="21"/>
                <w:highlight w:val="none"/>
                <w:lang w:val="en-US" w:eastAsia="zh-CN"/>
              </w:rPr>
              <w:t>6</w:t>
            </w:r>
            <w:r>
              <w:rPr>
                <w:rFonts w:hint="eastAsia" w:ascii="宋体" w:hAnsi="宋体" w:eastAsia="宋体" w:cs="宋体"/>
                <w:color w:val="000000"/>
                <w:sz w:val="21"/>
                <w:szCs w:val="21"/>
                <w:highlight w:val="none"/>
                <w:lang w:val="zh-CN"/>
              </w:rPr>
              <w:t>-</w:t>
            </w:r>
            <w:r>
              <w:rPr>
                <w:rFonts w:hint="eastAsia" w:ascii="宋体" w:hAnsi="宋体" w:eastAsia="宋体" w:cs="宋体"/>
                <w:color w:val="000000"/>
                <w:sz w:val="21"/>
                <w:szCs w:val="21"/>
                <w:highlight w:val="none"/>
                <w:lang w:val="en-US" w:eastAsia="zh-CN"/>
              </w:rPr>
              <w:t>8</w:t>
            </w:r>
            <w:r>
              <w:rPr>
                <w:rFonts w:hint="eastAsia" w:ascii="宋体" w:hAnsi="宋体" w:eastAsia="宋体" w:cs="宋体"/>
                <w:color w:val="000000"/>
                <w:sz w:val="21"/>
                <w:szCs w:val="21"/>
                <w:highlight w:val="none"/>
                <w:lang w:val="zh-CN"/>
              </w:rPr>
              <w:t>分；</w:t>
            </w:r>
          </w:p>
          <w:p w14:paraId="20D6E773">
            <w:pPr>
              <w:keepNext w:val="0"/>
              <w:keepLines w:val="0"/>
              <w:pageBreakBefore w:val="0"/>
              <w:widowControl w:val="0"/>
              <w:kinsoku/>
              <w:wordWrap/>
              <w:overflowPunct/>
              <w:topLinePunct w:val="0"/>
              <w:bidi w:val="0"/>
              <w:snapToGrid w:val="0"/>
              <w:spacing w:line="320" w:lineRule="exact"/>
              <w:textAlignment w:val="auto"/>
              <w:rPr>
                <w:rFonts w:hint="eastAsia" w:ascii="宋体" w:hAnsi="宋体" w:eastAsia="宋体" w:cs="宋体"/>
                <w:color w:val="000000"/>
                <w:kern w:val="21"/>
                <w:sz w:val="21"/>
                <w:szCs w:val="21"/>
                <w:highlight w:val="none"/>
                <w:lang w:eastAsia="zh-CN"/>
              </w:rPr>
            </w:pPr>
            <w:r>
              <w:rPr>
                <w:rFonts w:hint="eastAsia" w:ascii="宋体" w:hAnsi="宋体" w:eastAsia="宋体" w:cs="宋体"/>
                <w:color w:val="000000"/>
                <w:spacing w:val="12"/>
                <w:sz w:val="21"/>
                <w:szCs w:val="21"/>
                <w:highlight w:val="none"/>
                <w:lang w:val="en-US" w:eastAsia="zh-CN"/>
              </w:rPr>
              <w:t>3.</w:t>
            </w:r>
            <w:r>
              <w:rPr>
                <w:rFonts w:hint="eastAsia" w:ascii="宋体" w:hAnsi="宋体" w:eastAsia="宋体" w:cs="宋体"/>
                <w:color w:val="000000"/>
                <w:spacing w:val="12"/>
                <w:sz w:val="21"/>
                <w:szCs w:val="21"/>
                <w:highlight w:val="none"/>
              </w:rPr>
              <w:t>技术服务能力、维保能力一般，优惠政策一般、保养检测等售后服务一般</w:t>
            </w:r>
            <w:r>
              <w:rPr>
                <w:rFonts w:hint="eastAsia" w:ascii="宋体" w:hAnsi="宋体" w:eastAsia="宋体" w:cs="宋体"/>
                <w:color w:val="000000"/>
                <w:sz w:val="21"/>
                <w:szCs w:val="21"/>
                <w:highlight w:val="none"/>
                <w:lang w:val="zh-CN"/>
              </w:rPr>
              <w:t>，得</w:t>
            </w:r>
            <w:r>
              <w:rPr>
                <w:rFonts w:hint="eastAsia" w:ascii="宋体" w:hAnsi="宋体" w:eastAsia="宋体" w:cs="宋体"/>
                <w:color w:val="000000"/>
                <w:sz w:val="21"/>
                <w:szCs w:val="21"/>
                <w:highlight w:val="none"/>
                <w:lang w:val="en-US" w:eastAsia="zh-CN"/>
              </w:rPr>
              <w:t>6</w:t>
            </w:r>
            <w:r>
              <w:rPr>
                <w:rFonts w:hint="eastAsia" w:ascii="宋体" w:hAnsi="宋体" w:eastAsia="宋体" w:cs="宋体"/>
                <w:color w:val="000000"/>
                <w:sz w:val="21"/>
                <w:szCs w:val="21"/>
                <w:highlight w:val="none"/>
                <w:lang w:val="zh-CN"/>
              </w:rPr>
              <w:t>分；</w:t>
            </w:r>
          </w:p>
        </w:tc>
      </w:tr>
      <w:tr w14:paraId="41263F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59" w:hRule="atLeast"/>
          <w:jc w:val="center"/>
        </w:trPr>
        <w:tc>
          <w:tcPr>
            <w:tcW w:w="820" w:type="dxa"/>
            <w:vAlign w:val="center"/>
          </w:tcPr>
          <w:p w14:paraId="4516264C">
            <w:pPr>
              <w:keepNext w:val="0"/>
              <w:keepLines w:val="0"/>
              <w:pageBreakBefore w:val="0"/>
              <w:widowControl w:val="0"/>
              <w:kinsoku/>
              <w:wordWrap/>
              <w:overflowPunct/>
              <w:topLinePunct w:val="0"/>
              <w:autoSpaceDE/>
              <w:autoSpaceDN/>
              <w:bidi w:val="0"/>
              <w:adjustRightInd/>
              <w:snapToGrid/>
              <w:spacing w:line="320" w:lineRule="exact"/>
              <w:ind w:left="21" w:leftChars="10" w:right="0" w:rightChars="0"/>
              <w:jc w:val="center"/>
              <w:textAlignment w:val="auto"/>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2.2.4</w:t>
            </w:r>
          </w:p>
          <w:p w14:paraId="64F18988">
            <w:pPr>
              <w:keepNext w:val="0"/>
              <w:keepLines w:val="0"/>
              <w:pageBreakBefore w:val="0"/>
              <w:widowControl w:val="0"/>
              <w:kinsoku/>
              <w:wordWrap/>
              <w:overflowPunct/>
              <w:topLinePunct w:val="0"/>
              <w:autoSpaceDE/>
              <w:autoSpaceDN/>
              <w:bidi w:val="0"/>
              <w:adjustRightInd/>
              <w:snapToGrid/>
              <w:spacing w:line="320" w:lineRule="exact"/>
              <w:ind w:left="21" w:leftChars="10" w:right="0" w:rightChars="0"/>
              <w:jc w:val="center"/>
              <w:textAlignment w:val="auto"/>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w:t>
            </w:r>
            <w:r>
              <w:rPr>
                <w:rFonts w:hint="eastAsia" w:ascii="宋体" w:hAnsi="宋体" w:eastAsia="宋体" w:cs="宋体"/>
                <w:color w:val="000000"/>
                <w:sz w:val="21"/>
                <w:szCs w:val="21"/>
                <w:highlight w:val="none"/>
                <w:lang w:val="en-US" w:eastAsia="zh-CN"/>
              </w:rPr>
              <w:t>3</w:t>
            </w:r>
            <w:r>
              <w:rPr>
                <w:rFonts w:hint="eastAsia" w:ascii="宋体" w:hAnsi="宋体" w:eastAsia="宋体" w:cs="宋体"/>
                <w:color w:val="000000"/>
                <w:sz w:val="21"/>
                <w:szCs w:val="21"/>
                <w:highlight w:val="none"/>
                <w:lang w:eastAsia="en-US"/>
              </w:rPr>
              <w:t>）</w:t>
            </w:r>
          </w:p>
        </w:tc>
        <w:tc>
          <w:tcPr>
            <w:tcW w:w="1263" w:type="dxa"/>
            <w:vAlign w:val="center"/>
          </w:tcPr>
          <w:p w14:paraId="4415566C">
            <w:pPr>
              <w:keepNext w:val="0"/>
              <w:keepLines w:val="0"/>
              <w:pageBreakBefore w:val="0"/>
              <w:widowControl w:val="0"/>
              <w:kinsoku/>
              <w:wordWrap/>
              <w:overflowPunct/>
              <w:topLinePunct w:val="0"/>
              <w:autoSpaceDE/>
              <w:autoSpaceDN/>
              <w:bidi w:val="0"/>
              <w:adjustRightInd/>
              <w:snapToGrid/>
              <w:spacing w:line="320" w:lineRule="exact"/>
              <w:ind w:left="21" w:leftChars="10" w:right="0" w:rightChars="0"/>
              <w:jc w:val="center"/>
              <w:textAlignment w:val="auto"/>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rPr>
              <w:t>评</w:t>
            </w:r>
            <w:r>
              <w:rPr>
                <w:rFonts w:hint="eastAsia" w:ascii="宋体" w:hAnsi="宋体" w:eastAsia="宋体" w:cs="宋体"/>
                <w:color w:val="000000"/>
                <w:sz w:val="21"/>
                <w:szCs w:val="21"/>
                <w:highlight w:val="none"/>
                <w:lang w:eastAsia="en-US"/>
              </w:rPr>
              <w:t>标价</w:t>
            </w:r>
          </w:p>
          <w:p w14:paraId="385D2303">
            <w:pPr>
              <w:keepNext w:val="0"/>
              <w:keepLines w:val="0"/>
              <w:pageBreakBefore w:val="0"/>
              <w:widowControl w:val="0"/>
              <w:kinsoku/>
              <w:wordWrap/>
              <w:overflowPunct/>
              <w:topLinePunct w:val="0"/>
              <w:autoSpaceDE/>
              <w:autoSpaceDN/>
              <w:bidi w:val="0"/>
              <w:adjustRightInd/>
              <w:snapToGrid/>
              <w:spacing w:line="320" w:lineRule="exact"/>
              <w:ind w:left="21" w:leftChars="10" w:right="0" w:rightChars="0"/>
              <w:jc w:val="center"/>
              <w:textAlignment w:val="auto"/>
              <w:rPr>
                <w:rFonts w:hint="eastAsia" w:ascii="宋体" w:hAnsi="宋体" w:eastAsia="宋体" w:cs="宋体"/>
                <w:color w:val="000000"/>
                <w:sz w:val="21"/>
                <w:szCs w:val="21"/>
                <w:highlight w:val="none"/>
                <w:lang w:eastAsia="en-US"/>
              </w:rPr>
            </w:pPr>
            <w:r>
              <w:rPr>
                <w:rFonts w:hint="eastAsia" w:ascii="宋体" w:hAnsi="宋体" w:eastAsia="宋体" w:cs="宋体"/>
                <w:color w:val="000000"/>
                <w:sz w:val="21"/>
                <w:szCs w:val="21"/>
                <w:highlight w:val="none"/>
                <w:lang w:eastAsia="en-US"/>
              </w:rPr>
              <w:t>评分标准</w:t>
            </w:r>
          </w:p>
          <w:p w14:paraId="49A7A2AE">
            <w:pPr>
              <w:keepNext w:val="0"/>
              <w:keepLines w:val="0"/>
              <w:pageBreakBefore w:val="0"/>
              <w:widowControl w:val="0"/>
              <w:kinsoku/>
              <w:wordWrap/>
              <w:overflowPunct/>
              <w:topLinePunct w:val="0"/>
              <w:autoSpaceDE/>
              <w:autoSpaceDN/>
              <w:bidi w:val="0"/>
              <w:adjustRightInd/>
              <w:snapToGrid/>
              <w:spacing w:line="320" w:lineRule="exact"/>
              <w:ind w:left="21" w:leftChars="10" w:right="0" w:rightChars="0"/>
              <w:jc w:val="center"/>
              <w:textAlignment w:val="auto"/>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50分</w:t>
            </w:r>
          </w:p>
        </w:tc>
        <w:tc>
          <w:tcPr>
            <w:tcW w:w="1800" w:type="dxa"/>
            <w:vAlign w:val="center"/>
          </w:tcPr>
          <w:p w14:paraId="29812BDF">
            <w:pPr>
              <w:autoSpaceDE w:val="0"/>
              <w:autoSpaceDN w:val="0"/>
              <w:adjustRightInd w:val="0"/>
              <w:snapToGrid w:val="0"/>
              <w:spacing w:line="32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Cs w:val="21"/>
                <w:highlight w:val="none"/>
                <w:lang w:val="en-US" w:eastAsia="zh-CN"/>
              </w:rPr>
              <w:t>5</w:t>
            </w:r>
            <w:r>
              <w:rPr>
                <w:rFonts w:hint="eastAsia" w:ascii="宋体" w:hAnsi="宋体" w:eastAsia="宋体" w:cs="宋体"/>
                <w:color w:val="000000"/>
                <w:szCs w:val="21"/>
                <w:highlight w:val="none"/>
              </w:rPr>
              <w:t>0</w:t>
            </w:r>
            <w:r>
              <w:rPr>
                <w:rFonts w:hint="eastAsia" w:ascii="宋体" w:hAnsi="宋体" w:eastAsia="宋体" w:cs="宋体"/>
                <w:color w:val="000000"/>
                <w:szCs w:val="21"/>
                <w:highlight w:val="none"/>
                <w:lang w:val="zh-CN"/>
              </w:rPr>
              <w:t>分</w:t>
            </w:r>
          </w:p>
        </w:tc>
        <w:tc>
          <w:tcPr>
            <w:tcW w:w="6072" w:type="dxa"/>
            <w:tcBorders>
              <w:top w:val="single" w:color="auto" w:sz="4" w:space="0"/>
              <w:bottom w:val="single" w:color="auto" w:sz="4" w:space="0"/>
            </w:tcBorders>
            <w:vAlign w:val="center"/>
          </w:tcPr>
          <w:p w14:paraId="1D83F9E3">
            <w:pPr>
              <w:snapToGrid w:val="0"/>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评标价得分计算公式示例：</w:t>
            </w:r>
          </w:p>
          <w:p w14:paraId="1D990770">
            <w:pPr>
              <w:snapToGrid w:val="0"/>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（1）如果投标人的评标价＞评标基准价，则评标价得分=F-</w:t>
            </w:r>
            <w:r>
              <w:rPr>
                <w:rFonts w:hint="eastAsia" w:ascii="宋体" w:hAnsi="宋体" w:eastAsia="宋体" w:cs="宋体"/>
                <w:color w:val="000000"/>
                <w:szCs w:val="21"/>
                <w:highlight w:val="none"/>
                <w:lang w:val="en-US" w:eastAsia="zh-CN"/>
              </w:rPr>
              <w:t>偏差率</w:t>
            </w:r>
            <w:r>
              <w:rPr>
                <w:rFonts w:hint="eastAsia" w:ascii="宋体" w:hAnsi="宋体" w:eastAsia="宋体" w:cs="宋体"/>
                <w:color w:val="000000"/>
                <w:szCs w:val="21"/>
                <w:highlight w:val="none"/>
              </w:rPr>
              <w:t>×100×E1；</w:t>
            </w:r>
          </w:p>
          <w:p w14:paraId="0034BD40">
            <w:pPr>
              <w:snapToGrid w:val="0"/>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（2）如果投标人的评标价≤评标基准价，则评标价得分=F+</w:t>
            </w:r>
            <w:r>
              <w:rPr>
                <w:rFonts w:hint="eastAsia" w:ascii="宋体" w:hAnsi="宋体" w:eastAsia="宋体" w:cs="宋体"/>
                <w:color w:val="000000"/>
                <w:szCs w:val="21"/>
                <w:highlight w:val="none"/>
                <w:lang w:val="en-US" w:eastAsia="zh-CN"/>
              </w:rPr>
              <w:t>偏差率</w:t>
            </w:r>
            <w:r>
              <w:rPr>
                <w:rFonts w:hint="eastAsia" w:ascii="宋体" w:hAnsi="宋体" w:eastAsia="宋体" w:cs="宋体"/>
                <w:color w:val="000000"/>
                <w:szCs w:val="21"/>
                <w:highlight w:val="none"/>
              </w:rPr>
              <w:t>×100×E2。</w:t>
            </w:r>
          </w:p>
          <w:p w14:paraId="2D16C8DC">
            <w:pPr>
              <w:snapToGrid w:val="0"/>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其中，F=</w:t>
            </w:r>
            <w:r>
              <w:rPr>
                <w:rFonts w:hint="eastAsia" w:ascii="宋体" w:hAnsi="宋体" w:eastAsia="宋体" w:cs="宋体"/>
                <w:color w:val="000000"/>
                <w:szCs w:val="21"/>
                <w:highlight w:val="none"/>
                <w:lang w:val="en-US" w:eastAsia="zh-CN"/>
              </w:rPr>
              <w:t>5</w:t>
            </w:r>
            <w:r>
              <w:rPr>
                <w:rFonts w:hint="eastAsia" w:ascii="宋体" w:hAnsi="宋体" w:eastAsia="宋体" w:cs="宋体"/>
                <w:color w:val="000000"/>
                <w:szCs w:val="21"/>
                <w:highlight w:val="none"/>
              </w:rPr>
              <w:t>0；E1=0.</w:t>
            </w:r>
            <w:r>
              <w:rPr>
                <w:rFonts w:hint="eastAsia" w:ascii="宋体" w:hAnsi="宋体" w:eastAsia="宋体" w:cs="宋体"/>
                <w:color w:val="000000"/>
                <w:szCs w:val="21"/>
                <w:highlight w:val="none"/>
                <w:lang w:val="en-US" w:eastAsia="zh-CN"/>
              </w:rPr>
              <w:t>6</w:t>
            </w:r>
            <w:r>
              <w:rPr>
                <w:rFonts w:hint="eastAsia" w:ascii="宋体" w:hAnsi="宋体" w:eastAsia="宋体" w:cs="宋体"/>
                <w:color w:val="000000"/>
                <w:szCs w:val="21"/>
                <w:highlight w:val="none"/>
              </w:rPr>
              <w:t>；E2=0.</w:t>
            </w:r>
            <w:r>
              <w:rPr>
                <w:rFonts w:hint="eastAsia" w:ascii="宋体" w:hAnsi="宋体" w:eastAsia="宋体" w:cs="宋体"/>
                <w:color w:val="000000"/>
                <w:szCs w:val="21"/>
                <w:highlight w:val="none"/>
                <w:lang w:val="en-US" w:eastAsia="zh-CN"/>
              </w:rPr>
              <w:t>3</w:t>
            </w:r>
            <w:r>
              <w:rPr>
                <w:rFonts w:hint="eastAsia" w:ascii="宋体" w:hAnsi="宋体" w:eastAsia="宋体" w:cs="宋体"/>
                <w:color w:val="000000"/>
                <w:szCs w:val="21"/>
                <w:highlight w:val="none"/>
              </w:rPr>
              <w:t>；评标价最低得分为0分。</w:t>
            </w:r>
          </w:p>
          <w:p w14:paraId="64E50AE7">
            <w:pPr>
              <w:autoSpaceDE w:val="0"/>
              <w:autoSpaceDN w:val="0"/>
              <w:adjustRightInd w:val="0"/>
              <w:snapToGrid w:val="0"/>
              <w:spacing w:line="320" w:lineRule="exact"/>
              <w:rPr>
                <w:rFonts w:hint="eastAsia" w:ascii="宋体" w:hAnsi="宋体" w:eastAsia="宋体" w:cs="宋体"/>
                <w:color w:val="000000"/>
                <w:spacing w:val="-4"/>
                <w:kern w:val="21"/>
                <w:sz w:val="21"/>
                <w:szCs w:val="21"/>
                <w:highlight w:val="none"/>
              </w:rPr>
            </w:pPr>
            <w:r>
              <w:rPr>
                <w:rFonts w:hint="eastAsia" w:ascii="宋体" w:hAnsi="宋体" w:eastAsia="宋体" w:cs="宋体"/>
                <w:color w:val="000000"/>
                <w:szCs w:val="21"/>
                <w:highlight w:val="none"/>
              </w:rPr>
              <w:t>评标价得分保留两位小数，第三位四舍五入。</w:t>
            </w:r>
          </w:p>
        </w:tc>
      </w:tr>
      <w:tr w14:paraId="3AB28E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2" w:hRule="atLeast"/>
          <w:jc w:val="center"/>
        </w:trPr>
        <w:tc>
          <w:tcPr>
            <w:tcW w:w="9955" w:type="dxa"/>
            <w:gridSpan w:val="4"/>
            <w:vAlign w:val="center"/>
          </w:tcPr>
          <w:p w14:paraId="55D95A4E">
            <w:pPr>
              <w:keepNext w:val="0"/>
              <w:keepLines w:val="0"/>
              <w:pageBreakBefore w:val="0"/>
              <w:widowControl w:val="0"/>
              <w:kinsoku/>
              <w:wordWrap/>
              <w:overflowPunct/>
              <w:topLinePunct w:val="0"/>
              <w:autoSpaceDE/>
              <w:autoSpaceDN/>
              <w:bidi w:val="0"/>
              <w:adjustRightInd/>
              <w:snapToGrid/>
              <w:spacing w:after="0" w:line="320" w:lineRule="exact"/>
              <w:ind w:left="21" w:leftChars="10" w:right="0" w:rightChars="0" w:firstLine="0" w:firstLineChars="0"/>
              <w:jc w:val="both"/>
              <w:textAlignment w:val="auto"/>
              <w:rPr>
                <w:rFonts w:hint="eastAsia" w:ascii="Times New Roman" w:hAnsi="Times New Roman" w:eastAsia="宋体" w:cs="Times New Roman"/>
                <w:color w:val="000000"/>
                <w:kern w:val="2"/>
                <w:sz w:val="21"/>
                <w:szCs w:val="24"/>
                <w:highlight w:val="none"/>
                <w:lang w:val="en-US" w:eastAsia="zh-CN" w:bidi="ar-SA"/>
              </w:rPr>
            </w:pPr>
            <w:r>
              <w:rPr>
                <w:rFonts w:hint="eastAsia" w:ascii="Times New Roman" w:hAnsi="Times New Roman" w:eastAsia="宋体" w:cs="Times New Roman"/>
                <w:color w:val="000000"/>
                <w:kern w:val="2"/>
                <w:sz w:val="21"/>
                <w:szCs w:val="24"/>
                <w:highlight w:val="none"/>
                <w:lang w:val="en-US" w:eastAsia="zh-CN" w:bidi="ar-SA"/>
              </w:rPr>
              <w:t>增加：</w:t>
            </w:r>
          </w:p>
          <w:p w14:paraId="1F12178B">
            <w:pPr>
              <w:keepNext w:val="0"/>
              <w:keepLines w:val="0"/>
              <w:pageBreakBefore w:val="0"/>
              <w:widowControl w:val="0"/>
              <w:kinsoku/>
              <w:wordWrap/>
              <w:overflowPunct/>
              <w:topLinePunct w:val="0"/>
              <w:autoSpaceDE/>
              <w:autoSpaceDN/>
              <w:bidi w:val="0"/>
              <w:adjustRightInd/>
              <w:snapToGrid/>
              <w:spacing w:after="0" w:line="320" w:lineRule="exact"/>
              <w:ind w:left="21" w:leftChars="10" w:right="0" w:rightChars="0" w:firstLine="0" w:firstLineChars="0"/>
              <w:jc w:val="both"/>
              <w:textAlignment w:val="auto"/>
              <w:rPr>
                <w:rFonts w:hint="eastAsia" w:ascii="宋体" w:hAnsi="宋体" w:eastAsia="宋体" w:cs="宋体"/>
                <w:color w:val="000000"/>
                <w:kern w:val="2"/>
                <w:sz w:val="21"/>
                <w:szCs w:val="21"/>
                <w:highlight w:val="none"/>
                <w:lang w:val="en-US" w:eastAsia="zh-CN" w:bidi="ar-SA"/>
              </w:rPr>
            </w:pPr>
            <w:r>
              <w:rPr>
                <w:rFonts w:hint="eastAsia" w:ascii="Times New Roman" w:hAnsi="Times New Roman" w:eastAsia="宋体" w:cs="Times New Roman"/>
                <w:color w:val="000000"/>
                <w:kern w:val="2"/>
                <w:sz w:val="21"/>
                <w:szCs w:val="24"/>
                <w:highlight w:val="none"/>
                <w:lang w:val="en-US" w:eastAsia="zh-CN" w:bidi="ar-SA"/>
              </w:rPr>
              <w:t>一、信息查询，</w:t>
            </w:r>
            <w:r>
              <w:rPr>
                <w:rFonts w:hint="eastAsia" w:ascii="宋体" w:hAnsi="宋体" w:eastAsia="宋体" w:cs="宋体"/>
                <w:color w:val="000000"/>
                <w:kern w:val="2"/>
                <w:sz w:val="21"/>
                <w:szCs w:val="21"/>
                <w:highlight w:val="none"/>
                <w:lang w:val="en-US" w:eastAsia="zh-CN" w:bidi="ar-SA"/>
              </w:rPr>
              <w:t>在评标过程中，评标委员会应对以下信息进行查询：</w:t>
            </w:r>
          </w:p>
          <w:p w14:paraId="082C335C">
            <w:pPr>
              <w:keepNext w:val="0"/>
              <w:keepLines w:val="0"/>
              <w:pageBreakBefore w:val="0"/>
              <w:kinsoku/>
              <w:wordWrap/>
              <w:overflowPunct/>
              <w:topLinePunct w:val="0"/>
              <w:autoSpaceDE/>
              <w:autoSpaceDN/>
              <w:bidi w:val="0"/>
              <w:adjustRightInd/>
              <w:snapToGrid/>
              <w:spacing w:line="320" w:lineRule="exact"/>
              <w:ind w:left="21" w:leftChars="10" w:right="0" w:rightChars="0" w:firstLine="327" w:firstLineChars="156"/>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1.</w:t>
            </w:r>
            <w:r>
              <w:rPr>
                <w:rFonts w:hint="eastAsia" w:ascii="宋体" w:hAnsi="宋体" w:eastAsia="宋体" w:cs="宋体"/>
                <w:color w:val="000000"/>
                <w:sz w:val="21"/>
                <w:szCs w:val="21"/>
                <w:highlight w:val="none"/>
              </w:rPr>
              <w:t>投标人信用情况网页截图内容与在“国家企业信用信息公示系统”中严重违法失信名单（黑名单）信息（不含分公司）或在“信用中国”网站</w:t>
            </w:r>
            <w:r>
              <w:rPr>
                <w:rFonts w:hint="eastAsia" w:ascii="宋体" w:hAnsi="宋体" w:eastAsia="宋体" w:cs="宋体"/>
                <w:color w:val="000000"/>
                <w:sz w:val="21"/>
                <w:szCs w:val="21"/>
                <w:highlight w:val="none"/>
                <w:lang w:val="en-US" w:eastAsia="zh-CN"/>
              </w:rPr>
              <w:t>中</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eastAsia="zh-CN"/>
              </w:rPr>
              <w:t>经营（活动）异常名录</w:t>
            </w:r>
            <w:r>
              <w:rPr>
                <w:rFonts w:hint="eastAsia" w:ascii="宋体" w:hAnsi="宋体" w:eastAsia="宋体" w:cs="宋体"/>
                <w:color w:val="000000"/>
                <w:sz w:val="21"/>
                <w:szCs w:val="21"/>
                <w:highlight w:val="none"/>
              </w:rPr>
              <w:t>、重大税收违法失信主体、</w:t>
            </w:r>
            <w:r>
              <w:rPr>
                <w:rFonts w:hint="eastAsia" w:ascii="宋体" w:hAnsi="宋体" w:eastAsia="宋体" w:cs="宋体"/>
                <w:color w:val="000000"/>
                <w:sz w:val="21"/>
                <w:szCs w:val="21"/>
                <w:highlight w:val="none"/>
                <w:lang w:eastAsia="zh-CN"/>
              </w:rPr>
              <w:t>政府采购严重违法失信行为记录名单和安全生产严重失信主体名单</w:t>
            </w:r>
            <w:r>
              <w:rPr>
                <w:rFonts w:hint="eastAsia" w:ascii="宋体" w:hAnsi="宋体" w:eastAsia="宋体" w:cs="宋体"/>
                <w:color w:val="000000"/>
                <w:sz w:val="21"/>
                <w:szCs w:val="21"/>
                <w:highlight w:val="none"/>
              </w:rPr>
              <w:t>（均不含分公司）</w:t>
            </w:r>
            <w:r>
              <w:rPr>
                <w:rFonts w:hint="eastAsia" w:ascii="宋体" w:hAnsi="宋体" w:eastAsia="宋体" w:cs="宋体"/>
                <w:color w:val="000000"/>
                <w:sz w:val="21"/>
                <w:szCs w:val="21"/>
                <w:highlight w:val="none"/>
                <w:lang w:val="en-US" w:eastAsia="zh-CN"/>
              </w:rPr>
              <w:t>或在“</w:t>
            </w:r>
            <w:r>
              <w:rPr>
                <w:rFonts w:hint="eastAsia" w:ascii="宋体" w:hAnsi="宋体" w:eastAsia="宋体" w:cs="Times New Roman"/>
                <w:sz w:val="21"/>
                <w:szCs w:val="21"/>
                <w:highlight w:val="none"/>
                <w:lang w:eastAsia="zh-CN"/>
              </w:rPr>
              <w:t>中国执行信息公开网”中失信被执行人（不含分公司）</w:t>
            </w:r>
            <w:r>
              <w:rPr>
                <w:rFonts w:hint="eastAsia" w:ascii="宋体" w:hAnsi="宋体" w:eastAsia="宋体" w:cs="宋体"/>
                <w:color w:val="000000"/>
                <w:sz w:val="21"/>
                <w:szCs w:val="21"/>
                <w:highlight w:val="none"/>
              </w:rPr>
              <w:t>的复核结果一致。</w:t>
            </w:r>
          </w:p>
          <w:p w14:paraId="059A86E5">
            <w:pPr>
              <w:keepNext w:val="0"/>
              <w:keepLines w:val="0"/>
              <w:pageBreakBefore w:val="0"/>
              <w:kinsoku/>
              <w:wordWrap/>
              <w:overflowPunct/>
              <w:topLinePunct w:val="0"/>
              <w:autoSpaceDE/>
              <w:autoSpaceDN/>
              <w:bidi w:val="0"/>
              <w:adjustRightInd/>
              <w:snapToGrid/>
              <w:spacing w:line="320" w:lineRule="exact"/>
              <w:ind w:left="21" w:leftChars="10" w:right="0" w:rightChars="0" w:firstLine="327" w:firstLineChars="156"/>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如投标人未提供相关网页截图或所附截图与复核结果不一致导致不能满足资格评审要求的，评标委员会应否决其投标。</w:t>
            </w:r>
          </w:p>
          <w:p w14:paraId="74866B9E">
            <w:pPr>
              <w:keepNext w:val="0"/>
              <w:keepLines w:val="0"/>
              <w:pageBreakBefore w:val="0"/>
              <w:numPr>
                <w:ilvl w:val="0"/>
                <w:numId w:val="0"/>
              </w:numPr>
              <w:kinsoku/>
              <w:wordWrap/>
              <w:overflowPunct/>
              <w:topLinePunct w:val="0"/>
              <w:autoSpaceDE/>
              <w:autoSpaceDN/>
              <w:bidi w:val="0"/>
              <w:adjustRightInd/>
              <w:snapToGrid/>
              <w:spacing w:line="320" w:lineRule="exact"/>
              <w:ind w:right="0" w:righ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2.</w:t>
            </w:r>
            <w:r>
              <w:rPr>
                <w:rFonts w:hint="eastAsia" w:ascii="宋体" w:hAnsi="宋体" w:eastAsia="宋体" w:cs="宋体"/>
                <w:color w:val="000000"/>
                <w:sz w:val="21"/>
                <w:szCs w:val="21"/>
                <w:highlight w:val="none"/>
              </w:rPr>
              <w:t>评标委员会在评标时按照投标人提供的验证方式对电子保函或电子保证保险进行验证。如投标人未提供电子保函或电子保证保险的验证方式，或根据提供的验证方式无法核实或经核实与投标文件所附资料不一致的，评标委员会应否决其投标。</w:t>
            </w:r>
          </w:p>
          <w:p w14:paraId="4BF9E9CC">
            <w:pPr>
              <w:widowControl w:val="0"/>
              <w:numPr>
                <w:ilvl w:val="0"/>
                <w:numId w:val="3"/>
              </w:numPr>
              <w:ind w:left="100"/>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en-US" w:bidi="ar-SA"/>
              </w:rPr>
              <w:t>投标人其他异常投标情形</w:t>
            </w:r>
            <w:r>
              <w:rPr>
                <w:rFonts w:hint="eastAsia" w:ascii="宋体" w:hAnsi="宋体" w:eastAsia="宋体" w:cs="宋体"/>
                <w:color w:val="000000"/>
                <w:kern w:val="0"/>
                <w:sz w:val="21"/>
                <w:szCs w:val="21"/>
                <w:highlight w:val="none"/>
                <w:lang w:val="en-US" w:eastAsia="zh-CN" w:bidi="ar-SA"/>
              </w:rPr>
              <w:t>：</w:t>
            </w:r>
          </w:p>
          <w:p w14:paraId="53D6641E">
            <w:pPr>
              <w:keepNext w:val="0"/>
              <w:keepLines w:val="0"/>
              <w:pageBreakBefore w:val="0"/>
              <w:widowControl w:val="0"/>
              <w:numPr>
                <w:ilvl w:val="0"/>
                <w:numId w:val="0"/>
              </w:numPr>
              <w:kinsoku/>
              <w:wordWrap/>
              <w:overflowPunct/>
              <w:topLinePunct w:val="0"/>
              <w:autoSpaceDE/>
              <w:autoSpaceDN/>
              <w:bidi w:val="0"/>
              <w:adjustRightInd/>
              <w:snapToGrid w:val="0"/>
              <w:spacing w:line="320" w:lineRule="exact"/>
              <w:ind w:firstLine="420" w:firstLineChars="200"/>
              <w:jc w:val="both"/>
              <w:textAlignment w:val="auto"/>
              <w:rPr>
                <w:rFonts w:hint="eastAsia" w:ascii="宋体" w:hAnsi="宋体" w:eastAsia="宋体" w:cs="宋体"/>
                <w:color w:val="000000"/>
                <w:kern w:val="2"/>
                <w:sz w:val="21"/>
                <w:szCs w:val="22"/>
                <w:highlight w:val="none"/>
                <w:lang w:val="en-US" w:eastAsia="zh-CN" w:bidi="ar-SA"/>
              </w:rPr>
            </w:pPr>
            <w:r>
              <w:rPr>
                <w:rFonts w:hint="eastAsia" w:ascii="宋体" w:hAnsi="宋体" w:eastAsia="宋体" w:cs="宋体"/>
                <w:color w:val="000000"/>
                <w:kern w:val="2"/>
                <w:sz w:val="21"/>
                <w:szCs w:val="22"/>
                <w:highlight w:val="none"/>
                <w:lang w:val="en-US" w:eastAsia="zh-CN" w:bidi="ar-SA"/>
              </w:rPr>
              <w:t>1.投标人不存在投标人须知前附表4.4（1）、（3）情形。</w:t>
            </w:r>
          </w:p>
          <w:p w14:paraId="3F6E8538">
            <w:pPr>
              <w:keepNext w:val="0"/>
              <w:keepLines w:val="0"/>
              <w:pageBreakBefore w:val="0"/>
              <w:widowControl w:val="0"/>
              <w:numPr>
                <w:ilvl w:val="0"/>
                <w:numId w:val="0"/>
              </w:numPr>
              <w:kinsoku/>
              <w:wordWrap/>
              <w:overflowPunct/>
              <w:topLinePunct w:val="0"/>
              <w:autoSpaceDE/>
              <w:autoSpaceDN/>
              <w:bidi w:val="0"/>
              <w:adjustRightInd/>
              <w:snapToGrid w:val="0"/>
              <w:spacing w:line="320" w:lineRule="exact"/>
              <w:ind w:firstLine="420" w:firstLineChars="200"/>
              <w:jc w:val="both"/>
              <w:textAlignment w:val="auto"/>
              <w:rPr>
                <w:rFonts w:hint="eastAsia" w:ascii="Times New Roman" w:hAnsi="Times New Roman" w:eastAsia="宋体" w:cs="Times New Roman"/>
                <w:color w:val="000000"/>
                <w:kern w:val="2"/>
                <w:sz w:val="21"/>
                <w:szCs w:val="22"/>
                <w:highlight w:val="none"/>
                <w:lang w:val="en-US" w:eastAsia="zh-CN" w:bidi="ar-SA"/>
              </w:rPr>
            </w:pPr>
            <w:r>
              <w:rPr>
                <w:rFonts w:hint="eastAsia" w:ascii="宋体" w:hAnsi="宋体" w:eastAsia="宋体" w:cs="宋体"/>
                <w:color w:val="000000"/>
                <w:kern w:val="2"/>
                <w:sz w:val="21"/>
                <w:szCs w:val="22"/>
                <w:highlight w:val="none"/>
                <w:lang w:val="en-US" w:eastAsia="zh-CN" w:bidi="ar-SA"/>
              </w:rPr>
              <w:t>2.投标人存在投标人须知前附表4.4（2）情形的，评标委员会应当要求投标人作出解释说明。评标委员会经核查确认属于投标文件异常一致或投标活动异常关联活动情形的，应否决其投标。</w:t>
            </w:r>
          </w:p>
        </w:tc>
      </w:tr>
    </w:tbl>
    <w:p w14:paraId="7B63B716">
      <w:pPr>
        <w:adjustRightInd w:val="0"/>
        <w:spacing w:line="288" w:lineRule="auto"/>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注：1.评委打分保留一位小数，各评分因素得分应以评标委员会各成员的打分平均值确定，保留两位小数，第三位四舍五入。</w:t>
      </w:r>
    </w:p>
    <w:p w14:paraId="33636710">
      <w:pPr>
        <w:wordWrap w:val="0"/>
        <w:snapToGrid w:val="0"/>
        <w:spacing w:line="360" w:lineRule="auto"/>
        <w:ind w:firstLine="420" w:firstLineChars="200"/>
        <w:rPr>
          <w:rFonts w:ascii="宋体" w:hAnsi="宋体" w:eastAsia="宋体" w:cs="宋体"/>
          <w:color w:val="000000"/>
          <w:spacing w:val="1"/>
          <w:szCs w:val="21"/>
          <w:highlight w:val="none"/>
        </w:rPr>
      </w:pPr>
      <w:r>
        <w:rPr>
          <w:rFonts w:hint="eastAsia" w:ascii="宋体" w:hAnsi="宋体" w:eastAsia="宋体" w:cs="宋体"/>
          <w:color w:val="000000"/>
          <w:szCs w:val="21"/>
          <w:highlight w:val="none"/>
        </w:rPr>
        <w:t>2.技术部分评分因素细分项缺项则该项得0分。</w:t>
      </w:r>
    </w:p>
    <w:p w14:paraId="6495A5EB"/>
    <w:sectPr>
      <w:headerReference r:id="rId3" w:type="default"/>
      <w:footerReference r:id="rId4" w:type="default"/>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E8CC7">
    <w:pPr>
      <w:autoSpaceDE w:val="0"/>
      <w:autoSpaceDN w:val="0"/>
      <w:adjustRightInd w:val="0"/>
      <w:spacing w:line="200" w:lineRule="exact"/>
      <w:jc w:val="left"/>
      <w:rPr>
        <w:rFonts w:ascii="Times New Roman" w:hAnsi="Times New Roman" w:eastAsia="宋体" w:cs="Times New Roman"/>
        <w:kern w:val="0"/>
        <w:sz w:val="20"/>
        <w:szCs w:val="20"/>
      </w:rPr>
    </w:pPr>
    <w:r>
      <w:rPr>
        <w:rFonts w:ascii="Times New Roman" w:hAnsi="Times New Roman" w:eastAsia="宋体" w:cs="Times New Roman"/>
        <w:sz w:val="20"/>
        <w:szCs w:val="22"/>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87C22A3">
                          <w:pPr>
                            <w:widowControl w:val="0"/>
                            <w:tabs>
                              <w:tab w:val="center" w:pos="4153"/>
                              <w:tab w:val="right" w:pos="8306"/>
                            </w:tabs>
                            <w:snapToGrid w:val="0"/>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w:fldChar w:fldCharType="begin"/>
                          </w:r>
                          <w:r>
                            <w:rPr>
                              <w:rFonts w:ascii="Times New Roman" w:hAnsi="Times New Roman" w:eastAsia="宋体" w:cs="Times New Roman"/>
                              <w:kern w:val="0"/>
                              <w:sz w:val="18"/>
                              <w:szCs w:val="18"/>
                              <w:lang w:val="en-US" w:eastAsia="zh-CN" w:bidi="ar-SA"/>
                            </w:rPr>
                            <w:instrText xml:space="preserve"> PAGE  \* MERGEFORMAT </w:instrText>
                          </w:r>
                          <w:r>
                            <w:rPr>
                              <w:rFonts w:ascii="Times New Roman" w:hAnsi="Times New Roman" w:eastAsia="宋体" w:cs="Times New Roman"/>
                              <w:kern w:val="0"/>
                              <w:sz w:val="18"/>
                              <w:szCs w:val="18"/>
                              <w:lang w:val="en-US" w:eastAsia="zh-CN" w:bidi="ar-SA"/>
                            </w:rPr>
                            <w:fldChar w:fldCharType="separate"/>
                          </w:r>
                          <w:r>
                            <w:rPr>
                              <w:rFonts w:ascii="Times New Roman" w:hAnsi="Times New Roman" w:eastAsia="宋体" w:cs="Times New Roman"/>
                              <w:kern w:val="0"/>
                              <w:sz w:val="18"/>
                              <w:szCs w:val="18"/>
                              <w:lang w:val="en-US" w:eastAsia="zh-CN" w:bidi="ar-SA"/>
                            </w:rPr>
                            <w:t>23</w:t>
                          </w:r>
                          <w:r>
                            <w:rPr>
                              <w:rFonts w:ascii="Times New Roman" w:hAnsi="Times New Roman" w:eastAsia="宋体" w:cs="Times New Roman"/>
                              <w:kern w:val="0"/>
                              <w:sz w:val="18"/>
                              <w:szCs w:val="18"/>
                              <w:lang w:val="en-US" w:eastAsia="zh-CN" w:bidi="ar-SA"/>
                            </w:rPr>
                            <w:fldChar w:fldCharType="end"/>
                          </w:r>
                        </w:p>
                      </w:txbxContent>
                    </wps:txbx>
                    <wps:bodyPr wrap="none" lIns="0" tIns="0" rIns="0" bIns="0">
                      <a:spAutoFit/>
                    </wps:bodyPr>
                  </wps:wsp>
                </a:graphicData>
              </a:graphic>
            </wp:anchor>
          </w:drawing>
        </mc:Choice>
        <mc:Fallback>
          <w:pict>
            <v:shape id="文本框 1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1Hr0nCAQAAjgMAAA4AAAAAAAAAAQAgAAAAHgEAAGRycy9lMm9Eb2MueG1sUEsF&#10;BgAAAAAGAAYAWQEAAFIFAAAAAA==&#10;">
              <v:fill on="f" focussize="0,0"/>
              <v:stroke on="f"/>
              <v:imagedata o:title=""/>
              <o:lock v:ext="edit" aspectratio="f"/>
              <v:textbox inset="0mm,0mm,0mm,0mm" style="mso-fit-shape-to-text:t;">
                <w:txbxContent>
                  <w:p w14:paraId="587C22A3">
                    <w:pPr>
                      <w:widowControl w:val="0"/>
                      <w:tabs>
                        <w:tab w:val="center" w:pos="4153"/>
                        <w:tab w:val="right" w:pos="8306"/>
                      </w:tabs>
                      <w:snapToGrid w:val="0"/>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w:fldChar w:fldCharType="begin"/>
                    </w:r>
                    <w:r>
                      <w:rPr>
                        <w:rFonts w:ascii="Times New Roman" w:hAnsi="Times New Roman" w:eastAsia="宋体" w:cs="Times New Roman"/>
                        <w:kern w:val="0"/>
                        <w:sz w:val="18"/>
                        <w:szCs w:val="18"/>
                        <w:lang w:val="en-US" w:eastAsia="zh-CN" w:bidi="ar-SA"/>
                      </w:rPr>
                      <w:instrText xml:space="preserve"> PAGE  \* MERGEFORMAT </w:instrText>
                    </w:r>
                    <w:r>
                      <w:rPr>
                        <w:rFonts w:ascii="Times New Roman" w:hAnsi="Times New Roman" w:eastAsia="宋体" w:cs="Times New Roman"/>
                        <w:kern w:val="0"/>
                        <w:sz w:val="18"/>
                        <w:szCs w:val="18"/>
                        <w:lang w:val="en-US" w:eastAsia="zh-CN" w:bidi="ar-SA"/>
                      </w:rPr>
                      <w:fldChar w:fldCharType="separate"/>
                    </w:r>
                    <w:r>
                      <w:rPr>
                        <w:rFonts w:ascii="Times New Roman" w:hAnsi="Times New Roman" w:eastAsia="宋体" w:cs="Times New Roman"/>
                        <w:kern w:val="0"/>
                        <w:sz w:val="18"/>
                        <w:szCs w:val="18"/>
                        <w:lang w:val="en-US" w:eastAsia="zh-CN" w:bidi="ar-SA"/>
                      </w:rPr>
                      <w:t>23</w:t>
                    </w:r>
                    <w:r>
                      <w:rPr>
                        <w:rFonts w:ascii="Times New Roman" w:hAnsi="Times New Roman" w:eastAsia="宋体" w:cs="Times New Roman"/>
                        <w:kern w:val="0"/>
                        <w:sz w:val="18"/>
                        <w:szCs w:val="18"/>
                        <w:lang w:val="en-US" w:eastAsia="zh-CN" w:bidi="ar-S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8FC304">
    <w:pPr>
      <w:spacing w:line="222" w:lineRule="auto"/>
      <w:jc w:val="center"/>
      <w:rPr>
        <w:rFonts w:ascii="仿宋" w:hAnsi="仿宋" w:eastAsia="宋体" w:cs="仿宋"/>
        <w:sz w:val="18"/>
        <w:szCs w:val="18"/>
      </w:rPr>
    </w:pPr>
    <w:r>
      <w:rPr>
        <w:rFonts w:ascii="Times New Roman" w:hAnsi="Times New Roman" w:eastAsia="宋体" w:cs="Times New Roman"/>
        <w:sz w:val="18"/>
        <w:szCs w:val="18"/>
      </w:rPr>
      <mc:AlternateContent>
        <mc:Choice Requires="wps">
          <w:drawing>
            <wp:anchor distT="0" distB="0" distL="114300" distR="114300" simplePos="0" relativeHeight="251659264" behindDoc="0" locked="0" layoutInCell="0" allowOverlap="1">
              <wp:simplePos x="0" y="0"/>
              <wp:positionH relativeFrom="page">
                <wp:posOffset>900430</wp:posOffset>
              </wp:positionH>
              <wp:positionV relativeFrom="page">
                <wp:posOffset>684530</wp:posOffset>
              </wp:positionV>
              <wp:extent cx="5796280" cy="9525"/>
              <wp:effectExtent l="0" t="0" r="0" b="0"/>
              <wp:wrapNone/>
              <wp:docPr id="2" name="任意多边形 5"/>
              <wp:cNvGraphicFramePr/>
              <a:graphic xmlns:a="http://schemas.openxmlformats.org/drawingml/2006/main">
                <a:graphicData uri="http://schemas.microsoft.com/office/word/2010/wordprocessingShape">
                  <wps:wsp>
                    <wps:cNvSpPr/>
                    <wps:spPr>
                      <a:xfrm>
                        <a:off x="0" y="0"/>
                        <a:ext cx="5796280" cy="9525"/>
                      </a:xfrm>
                      <a:custGeom>
                        <a:avLst/>
                        <a:gdLst/>
                        <a:ahLst/>
                        <a:cxnLst/>
                        <a:pathLst>
                          <a:path w="9127" h="15">
                            <a:moveTo>
                              <a:pt x="0" y="0"/>
                            </a:moveTo>
                            <a:lnTo>
                              <a:pt x="9127" y="0"/>
                            </a:lnTo>
                            <a:lnTo>
                              <a:pt x="9127" y="14"/>
                            </a:lnTo>
                            <a:lnTo>
                              <a:pt x="0" y="14"/>
                            </a:lnTo>
                            <a:lnTo>
                              <a:pt x="0" y="0"/>
                            </a:lnTo>
                            <a:close/>
                          </a:path>
                        </a:pathLst>
                      </a:custGeom>
                      <a:solidFill>
                        <a:srgbClr val="000000"/>
                      </a:solidFill>
                      <a:ln>
                        <a:noFill/>
                      </a:ln>
                    </wps:spPr>
                    <wps:bodyPr wrap="square" upright="1"/>
                  </wps:wsp>
                </a:graphicData>
              </a:graphic>
            </wp:anchor>
          </w:drawing>
        </mc:Choice>
        <mc:Fallback>
          <w:pict>
            <v:shape id="任意多边形 5" o:spid="_x0000_s1026" o:spt="100" style="position:absolute;left:0pt;margin-left:70.9pt;margin-top:53.9pt;height:0.75pt;width:456.4pt;mso-position-horizontal-relative:page;mso-position-vertical-relative:page;z-index:251659264;mso-width-relative:page;mso-height-relative:page;" fillcolor="#000000" filled="t" stroked="f" coordsize="9127,15" o:allowincell="f" o:gfxdata="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J+qV8vXAAAADAEAAA8A&#10;AAAAAAAAAQAgAAAAIgAAAGRycy9kb3ducmV2LnhtbFBLAQIUABQAAAAIAIdO4kBj2zyYGAIAAIkE&#10;AAAOAAAAAAAAAAEAIAAAACYBAABkcnMvZTJvRG9jLnhtbFBLBQYAAAAABgAGAFkBAACwBQAAAAA=&#10;" path="m0,0l9127,0,9127,14,0,14,0,0xe">
              <v:fill on="t" focussize="0,0"/>
              <v:stroke on="f"/>
              <v:imagedata o:title=""/>
              <o:lock v:ext="edit" aspectratio="f"/>
            </v:shape>
          </w:pict>
        </mc:Fallback>
      </mc:AlternateContent>
    </w:r>
    <w:r>
      <w:rPr>
        <w:rFonts w:hint="eastAsia" w:ascii="Times New Roman" w:hAnsi="Times New Roman" w:eastAsia="宋体" w:cs="Times New Roman"/>
        <w:sz w:val="18"/>
        <w:szCs w:val="18"/>
        <w:lang w:eastAsia="zh-CN"/>
      </w:rPr>
      <w:t>河北燕驰汽车服务有限公司租赁用皮卡车采购项目</w:t>
    </w:r>
    <w:r>
      <w:rPr>
        <w:rFonts w:hint="eastAsia" w:ascii="Times New Roman" w:hAnsi="Times New Roman" w:eastAsia="宋体" w:cs="Times New Roman"/>
        <w:sz w:val="18"/>
        <w:szCs w:val="18"/>
        <w:lang w:val="en-US" w:eastAsia="zh-CN"/>
      </w:rPr>
      <w:t xml:space="preserve">                                           </w:t>
    </w:r>
    <w:r>
      <w:rPr>
        <w:rFonts w:hint="eastAsia" w:ascii="Times New Roman" w:hAnsi="Times New Roman" w:eastAsia="宋体" w:cs="Times New Roman"/>
        <w:sz w:val="18"/>
        <w:szCs w:val="18"/>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733AEB"/>
    <w:multiLevelType w:val="singleLevel"/>
    <w:tmpl w:val="17733AEB"/>
    <w:lvl w:ilvl="0" w:tentative="0">
      <w:start w:val="2"/>
      <w:numFmt w:val="chineseCounting"/>
      <w:suff w:val="nothing"/>
      <w:lvlText w:val="%1、"/>
      <w:lvlJc w:val="left"/>
      <w:rPr>
        <w:rFonts w:hint="eastAsia"/>
      </w:rPr>
    </w:lvl>
  </w:abstractNum>
  <w:abstractNum w:abstractNumId="1">
    <w:nsid w:val="3F013C16"/>
    <w:multiLevelType w:val="singleLevel"/>
    <w:tmpl w:val="3F013C16"/>
    <w:lvl w:ilvl="0" w:tentative="0">
      <w:start w:val="1"/>
      <w:numFmt w:val="decimal"/>
      <w:suff w:val="nothing"/>
      <w:lvlText w:val="（%1）"/>
      <w:lvlJc w:val="left"/>
    </w:lvl>
  </w:abstractNum>
  <w:abstractNum w:abstractNumId="2">
    <w:nsid w:val="4C6E650C"/>
    <w:multiLevelType w:val="multilevel"/>
    <w:tmpl w:val="4C6E650C"/>
    <w:lvl w:ilvl="0" w:tentative="0">
      <w:start w:val="1"/>
      <w:numFmt w:val="decimal"/>
      <w:pStyle w:val="3"/>
      <w:suff w:val="space"/>
      <w:lvlText w:val="%1."/>
      <w:lvlJc w:val="left"/>
      <w:pPr>
        <w:tabs>
          <w:tab w:val="left" w:pos="0"/>
        </w:tabs>
        <w:ind w:left="0" w:firstLine="0"/>
      </w:pPr>
      <w:rPr>
        <w:rFonts w:hint="default" w:ascii="Times New Roman" w:hAnsi="Times New Roman" w:eastAsia="宋体"/>
        <w:b/>
        <w:i w:val="0"/>
        <w:sz w:val="21"/>
        <w:szCs w:val="21"/>
      </w:rPr>
    </w:lvl>
    <w:lvl w:ilvl="1" w:tentative="0">
      <w:start w:val="1"/>
      <w:numFmt w:val="decimal"/>
      <w:pStyle w:val="2"/>
      <w:suff w:val="space"/>
      <w:lvlText w:val="%1.%2"/>
      <w:lvlJc w:val="left"/>
      <w:pPr>
        <w:tabs>
          <w:tab w:val="left" w:pos="0"/>
        </w:tabs>
        <w:ind w:left="240" w:firstLine="0"/>
      </w:pPr>
      <w:rPr>
        <w:rFonts w:hint="default" w:ascii="Times New Roman" w:hAnsi="Times New Roman" w:eastAsia="宋体"/>
        <w:b/>
        <w:i w:val="0"/>
        <w:sz w:val="21"/>
        <w:szCs w:val="21"/>
      </w:rPr>
    </w:lvl>
    <w:lvl w:ilvl="2" w:tentative="0">
      <w:start w:val="1"/>
      <w:numFmt w:val="decimal"/>
      <w:suff w:val="space"/>
      <w:lvlText w:val="%1.%2.%3"/>
      <w:lvlJc w:val="left"/>
      <w:pPr>
        <w:ind w:left="993" w:firstLine="0"/>
      </w:pPr>
      <w:rPr>
        <w:rFonts w:hint="default" w:ascii="Times New Roman" w:hAnsi="Times New Roman" w:eastAsia="宋体"/>
        <w:b/>
        <w:i w:val="0"/>
        <w:sz w:val="32"/>
      </w:rPr>
    </w:lvl>
    <w:lvl w:ilvl="3" w:tentative="0">
      <w:start w:val="1"/>
      <w:numFmt w:val="decimal"/>
      <w:suff w:val="space"/>
      <w:lvlText w:val="%1.%2.%3.%4"/>
      <w:lvlJc w:val="left"/>
      <w:pPr>
        <w:ind w:left="0" w:firstLine="0"/>
      </w:pPr>
      <w:rPr>
        <w:rFonts w:hint="default" w:ascii="Times New Roman" w:hAnsi="Times New Roman" w:eastAsia="宋体"/>
        <w:b/>
        <w:i w:val="0"/>
        <w:sz w:val="24"/>
      </w:rPr>
    </w:lvl>
    <w:lvl w:ilvl="4" w:tentative="0">
      <w:start w:val="1"/>
      <w:numFmt w:val="decimal"/>
      <w:suff w:val="space"/>
      <w:lvlText w:val="%1.%2.%3.%4.%5"/>
      <w:lvlJc w:val="left"/>
      <w:pPr>
        <w:ind w:left="0" w:firstLine="0"/>
      </w:pPr>
      <w:rPr>
        <w:rFonts w:hint="default" w:ascii="Times New Roman" w:hAnsi="Times New Roman" w:eastAsia="宋体"/>
        <w:b/>
        <w:i w:val="0"/>
        <w:sz w:val="24"/>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81B7828"/>
    <w:rsid w:val="2F8266AE"/>
    <w:rsid w:val="3E1855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240"/>
      <w:outlineLvl w:val="1"/>
    </w:pPr>
    <w:rPr>
      <w:rFonts w:ascii="Arial" w:hAnsi="Arial" w:eastAsia="黑体"/>
      <w:b/>
      <w:sz w:val="32"/>
    </w:rPr>
  </w:style>
  <w:style w:type="paragraph" w:styleId="3">
    <w:name w:val="heading 3"/>
    <w:basedOn w:val="1"/>
    <w:next w:val="1"/>
    <w:semiHidden/>
    <w:unhideWhenUsed/>
    <w:qFormat/>
    <w:uiPriority w:val="0"/>
    <w:pPr>
      <w:keepNext/>
      <w:keepLines/>
      <w:numPr>
        <w:ilvl w:val="0"/>
        <w:numId w:val="1"/>
      </w:numPr>
      <w:spacing w:before="50" w:after="50" w:line="416" w:lineRule="auto"/>
      <w:outlineLvl w:val="2"/>
    </w:pPr>
    <w:rPr>
      <w:rFonts w:ascii="宋体" w:hAnsi="宋体" w:eastAsia="宋体" w:cs="Times New Roman"/>
      <w:b/>
      <w:bCs/>
      <w:sz w:val="21"/>
      <w:szCs w:val="21"/>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4885</Words>
  <Characters>5467</Characters>
  <Lines>0</Lines>
  <Paragraphs>0</Paragraphs>
  <TotalTime>0</TotalTime>
  <ScaleCrop>false</ScaleCrop>
  <LinksUpToDate>false</LinksUpToDate>
  <CharactersWithSpaces>5535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2025-07-30T08:06:00Z</dcterms:created>
  <dc:creator>zjyd-2</dc:creator>
  <cp:lastModifiedBy>李娜</cp:lastModifiedBy>
  <dcterms:modified xsi:type="dcterms:W3CDTF">2026-05-18T09:42:09Z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CF58DBFDBD8A45269F9CDECC14BC5366_12</vt:lpwstr>
  </property>
  <property fmtid="{D5CDD505-2E9C-101B-9397-08002B2CF9AE}" pid="4" name="KSOTemplateDocerSaveRecord">
    <vt:lpwstr>eyJoZGlkIjoiOWYyZDYxNTJjZmI2NmVkYTMyOWVjMGFiZjEzZGM5NjgiLCJ1c2VySWQiOiIxNTI1NDExOTAzIn0=</vt:lpwstr>
  </property>
</Properties>
</file>