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1F929">
      <w:pPr>
        <w:rPr>
          <w:rFonts w:hint="eastAsia" w:ascii="宋体" w:hAnsi="宋体" w:cs="宋体"/>
          <w:b/>
          <w:color w:val="auto"/>
          <w:sz w:val="28"/>
          <w:szCs w:val="28"/>
          <w:highlight w:val="none"/>
        </w:rPr>
      </w:pPr>
      <w:bookmarkStart w:id="19" w:name="_GoBack"/>
      <w:bookmarkEnd w:id="19"/>
      <w:r>
        <w:rPr>
          <w:rFonts w:hint="eastAsia" w:ascii="宋体" w:hAnsi="宋体" w:cs="宋体"/>
          <w:b/>
          <w:color w:val="auto"/>
          <w:sz w:val="28"/>
          <w:szCs w:val="28"/>
          <w:highlight w:val="none"/>
        </w:rPr>
        <w:t>附件1：资格审查条件</w:t>
      </w:r>
    </w:p>
    <w:p w14:paraId="19639AD3">
      <w:pPr>
        <w:pStyle w:val="16"/>
        <w:rPr>
          <w:rFonts w:hint="eastAsia"/>
          <w:color w:val="auto"/>
          <w:highlight w:val="none"/>
        </w:rPr>
      </w:pPr>
    </w:p>
    <w:p w14:paraId="54EFB1F6">
      <w:pPr>
        <w:adjustRightInd w:val="0"/>
        <w:snapToGrid w:val="0"/>
        <w:spacing w:line="360" w:lineRule="auto"/>
        <w:jc w:val="center"/>
        <w:rPr>
          <w:rFonts w:ascii="宋体" w:hAnsi="宋体"/>
          <w:b/>
          <w:bCs/>
          <w:snapToGrid w:val="0"/>
          <w:color w:val="auto"/>
          <w:kern w:val="0"/>
          <w:sz w:val="24"/>
          <w:szCs w:val="24"/>
          <w:highlight w:val="none"/>
        </w:rPr>
      </w:pPr>
    </w:p>
    <w:p w14:paraId="27962F0B">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357"/>
        <w:gridCol w:w="7165"/>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1465" w:type="dxa"/>
            <w:tcBorders>
              <w:top w:val="single" w:color="000000" w:sz="2" w:space="0"/>
              <w:left w:val="single" w:color="auto" w:sz="4" w:space="0"/>
              <w:bottom w:val="single" w:color="000000" w:sz="4" w:space="0"/>
              <w:right w:val="single" w:color="000000" w:sz="2" w:space="0"/>
            </w:tcBorders>
            <w:noWrap w:val="0"/>
            <w:vAlign w:val="center"/>
          </w:tcPr>
          <w:p w14:paraId="4E6D284E">
            <w:pPr>
              <w:adjustRightInd w:val="0"/>
              <w:snapToGrid w:val="0"/>
              <w:spacing w:line="240" w:lineRule="auto"/>
              <w:jc w:val="center"/>
              <w:textAlignment w:val="baseline"/>
              <w:rPr>
                <w:rStyle w:val="17"/>
                <w:rFonts w:hint="eastAsia" w:ascii="宋体" w:hAnsi="宋体" w:eastAsia="宋体"/>
                <w:b w:val="0"/>
                <w:bCs w:val="0"/>
                <w:snapToGrid w:val="0"/>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标段号</w:t>
            </w:r>
          </w:p>
        </w:tc>
        <w:tc>
          <w:tcPr>
            <w:tcW w:w="7936" w:type="dxa"/>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17"/>
                <w:rFonts w:ascii="宋体" w:hAnsi="宋体"/>
                <w:b w:val="0"/>
                <w:bCs w:val="0"/>
                <w:snapToGrid w:val="0"/>
                <w:color w:val="auto"/>
                <w:kern w:val="0"/>
                <w:sz w:val="24"/>
                <w:szCs w:val="24"/>
                <w:highlight w:val="none"/>
              </w:rPr>
            </w:pPr>
            <w:r>
              <w:rPr>
                <w:rStyle w:val="17"/>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1465" w:type="dxa"/>
            <w:tcBorders>
              <w:top w:val="single" w:color="000000" w:sz="2" w:space="0"/>
              <w:left w:val="single" w:color="auto" w:sz="4" w:space="0"/>
              <w:bottom w:val="single" w:color="000000" w:sz="2" w:space="0"/>
              <w:right w:val="single" w:color="000000" w:sz="2" w:space="0"/>
            </w:tcBorders>
            <w:noWrap w:val="0"/>
            <w:vAlign w:val="center"/>
          </w:tcPr>
          <w:p w14:paraId="14199E37">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一标段</w:t>
            </w:r>
          </w:p>
          <w:p w14:paraId="1CD92AB9">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二标段</w:t>
            </w:r>
          </w:p>
          <w:p w14:paraId="790290E6">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三标段</w:t>
            </w:r>
          </w:p>
          <w:p w14:paraId="24F2C272">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五标段</w:t>
            </w:r>
          </w:p>
          <w:p w14:paraId="5B203B91">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六标段</w:t>
            </w:r>
          </w:p>
          <w:p w14:paraId="43048103">
            <w:pPr>
              <w:pStyle w:val="19"/>
              <w:adjustRightInd w:val="0"/>
              <w:snapToGrid w:val="0"/>
              <w:spacing w:line="240" w:lineRule="auto"/>
              <w:jc w:val="center"/>
              <w:rPr>
                <w:rStyle w:val="17"/>
                <w:rFonts w:hint="eastAsia" w:hAnsi="宋体" w:eastAsia="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七标段</w:t>
            </w:r>
          </w:p>
        </w:tc>
        <w:tc>
          <w:tcPr>
            <w:tcW w:w="7936" w:type="dxa"/>
            <w:tcBorders>
              <w:top w:val="single" w:color="000000" w:sz="2" w:space="0"/>
              <w:left w:val="single" w:color="auto" w:sz="4" w:space="0"/>
              <w:bottom w:val="single" w:color="000000" w:sz="2" w:space="0"/>
              <w:right w:val="single" w:color="000000" w:sz="2" w:space="0"/>
            </w:tcBorders>
            <w:noWrap w:val="0"/>
            <w:vAlign w:val="center"/>
          </w:tcPr>
          <w:p w14:paraId="5DD0B503">
            <w:pPr>
              <w:pStyle w:val="19"/>
              <w:adjustRightInd w:val="0"/>
              <w:snapToGrid w:val="0"/>
              <w:spacing w:line="240" w:lineRule="auto"/>
              <w:jc w:val="both"/>
              <w:rPr>
                <w:rStyle w:val="17"/>
                <w:rFonts w:hint="eastAsia" w:hAnsi="宋体"/>
                <w:bCs w:val="0"/>
                <w:snapToGrid w:val="0"/>
                <w:color w:val="auto"/>
                <w:sz w:val="24"/>
                <w:szCs w:val="24"/>
                <w:highlight w:val="none"/>
              </w:rPr>
            </w:pPr>
            <w:r>
              <w:rPr>
                <w:rFonts w:hint="eastAsia" w:hAnsi="宋体"/>
                <w:color w:val="auto"/>
                <w:sz w:val="24"/>
                <w:szCs w:val="24"/>
                <w:highlight w:val="none"/>
              </w:rPr>
              <w:t>中华人民共和国境内的法人或其他组织，持有有效的营业执照</w:t>
            </w:r>
            <w:r>
              <w:rPr>
                <w:rFonts w:hint="eastAsia" w:hAnsi="宋体"/>
                <w:color w:val="auto"/>
                <w:sz w:val="24"/>
                <w:szCs w:val="24"/>
                <w:highlight w:val="none"/>
                <w:lang w:val="en-US" w:eastAsia="zh-CN"/>
              </w:rPr>
              <w:t>的设备制造商</w:t>
            </w:r>
            <w:r>
              <w:rPr>
                <w:rFonts w:hint="eastAsia" w:hAnsi="宋体"/>
                <w:color w:val="auto"/>
                <w:sz w:val="24"/>
                <w:szCs w:val="24"/>
                <w:highlight w:val="none"/>
              </w:rPr>
              <w:t>。</w:t>
            </w:r>
          </w:p>
        </w:tc>
      </w:tr>
      <w:tr w14:paraId="32C00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1465" w:type="dxa"/>
            <w:tcBorders>
              <w:top w:val="single" w:color="000000" w:sz="2" w:space="0"/>
              <w:left w:val="single" w:color="auto" w:sz="4" w:space="0"/>
              <w:bottom w:val="single" w:color="000000" w:sz="2" w:space="0"/>
              <w:right w:val="single" w:color="000000" w:sz="2" w:space="0"/>
            </w:tcBorders>
            <w:noWrap w:val="0"/>
            <w:vAlign w:val="center"/>
          </w:tcPr>
          <w:p w14:paraId="499FE688">
            <w:pPr>
              <w:pStyle w:val="19"/>
              <w:adjustRightInd w:val="0"/>
              <w:snapToGrid w:val="0"/>
              <w:spacing w:line="240" w:lineRule="auto"/>
              <w:jc w:val="center"/>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四标段</w:t>
            </w:r>
          </w:p>
        </w:tc>
        <w:tc>
          <w:tcPr>
            <w:tcW w:w="7936" w:type="dxa"/>
            <w:tcBorders>
              <w:top w:val="single" w:color="000000" w:sz="2" w:space="0"/>
              <w:left w:val="single" w:color="auto" w:sz="4" w:space="0"/>
              <w:bottom w:val="single" w:color="000000" w:sz="2" w:space="0"/>
              <w:right w:val="single" w:color="000000" w:sz="2" w:space="0"/>
            </w:tcBorders>
            <w:noWrap w:val="0"/>
            <w:vAlign w:val="center"/>
          </w:tcPr>
          <w:p w14:paraId="7E4AE318">
            <w:pPr>
              <w:adjustRightInd w:val="0"/>
              <w:snapToGrid w:val="0"/>
              <w:spacing w:line="240" w:lineRule="auto"/>
              <w:jc w:val="both"/>
              <w:rPr>
                <w:rStyle w:val="17"/>
                <w:rFonts w:hint="default" w:hAnsi="宋体"/>
                <w:bCs w:val="0"/>
                <w:snapToGrid w:val="0"/>
                <w:color w:val="0000FF"/>
                <w:sz w:val="24"/>
                <w:szCs w:val="24"/>
                <w:highlight w:val="none"/>
                <w:lang w:val="en-US" w:eastAsia="zh-CN"/>
              </w:rPr>
            </w:pPr>
            <w:r>
              <w:rPr>
                <w:rStyle w:val="17"/>
                <w:rFonts w:hint="eastAsia" w:hAnsi="宋体"/>
                <w:bCs w:val="0"/>
                <w:snapToGrid w:val="0"/>
                <w:color w:val="auto"/>
                <w:sz w:val="24"/>
                <w:szCs w:val="24"/>
                <w:highlight w:val="none"/>
                <w:lang w:val="en-US" w:eastAsia="zh-CN"/>
              </w:rPr>
              <w:t>制造商：投标人应是中华人民共和国境内的法人或其他组织，持有有效的营业执照。</w:t>
            </w:r>
          </w:p>
          <w:p w14:paraId="4C64F4AB">
            <w:pPr>
              <w:pStyle w:val="19"/>
              <w:adjustRightInd w:val="0"/>
              <w:snapToGrid w:val="0"/>
              <w:spacing w:line="240" w:lineRule="auto"/>
              <w:jc w:val="both"/>
              <w:rPr>
                <w:rFonts w:hint="eastAsia" w:hAnsi="宋体"/>
                <w:color w:val="auto"/>
                <w:sz w:val="24"/>
                <w:szCs w:val="24"/>
                <w:highlight w:val="none"/>
              </w:rPr>
            </w:pPr>
            <w:r>
              <w:rPr>
                <w:rStyle w:val="17"/>
                <w:rFonts w:hint="eastAsia" w:hAnsi="宋体"/>
                <w:bCs w:val="0"/>
                <w:snapToGrid w:val="0"/>
                <w:color w:val="auto"/>
                <w:sz w:val="24"/>
                <w:szCs w:val="24"/>
                <w:highlight w:val="none"/>
                <w:lang w:val="en-US" w:eastAsia="zh-CN"/>
              </w:rPr>
              <w:t>代理商：投标人应是中华人民共和国境内的法人或其他组织，持有有效的营业执照；具有制造商出具的针对本招标项目所投设备的唯一授权书，且该制造商满足前述关于“制造商”的要求。</w:t>
            </w:r>
          </w:p>
        </w:tc>
      </w:tr>
    </w:tbl>
    <w:p w14:paraId="33C79E4A">
      <w:pPr>
        <w:pStyle w:val="6"/>
        <w:spacing w:line="240" w:lineRule="auto"/>
        <w:ind w:left="0" w:leftChars="0" w:firstLine="0" w:firstLineChars="0"/>
        <w:jc w:val="center"/>
        <w:rPr>
          <w:rFonts w:hint="eastAsia"/>
          <w:color w:val="auto"/>
          <w:sz w:val="24"/>
          <w:szCs w:val="24"/>
          <w:highlight w:val="none"/>
        </w:rPr>
      </w:pPr>
    </w:p>
    <w:p w14:paraId="440DCFD6">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17"/>
        <w:gridCol w:w="7605"/>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38" w:type="pct"/>
            <w:tcBorders>
              <w:top w:val="single" w:color="000000" w:sz="2" w:space="0"/>
              <w:left w:val="single" w:color="auto" w:sz="4" w:space="0"/>
              <w:bottom w:val="single" w:color="000000" w:sz="4" w:space="0"/>
              <w:right w:val="single" w:color="000000" w:sz="2" w:space="0"/>
            </w:tcBorders>
            <w:noWrap w:val="0"/>
            <w:vAlign w:val="center"/>
          </w:tcPr>
          <w:p w14:paraId="5692F734">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Fonts w:hint="eastAsia" w:ascii="宋体" w:hAnsi="宋体" w:cs="宋体"/>
                <w:b w:val="0"/>
                <w:bCs w:val="0"/>
                <w:color w:val="auto"/>
                <w:sz w:val="24"/>
                <w:szCs w:val="24"/>
                <w:highlight w:val="none"/>
                <w:lang w:val="en-US" w:eastAsia="zh-CN"/>
              </w:rPr>
              <w:t>标段号</w:t>
            </w:r>
          </w:p>
        </w:tc>
        <w:tc>
          <w:tcPr>
            <w:tcW w:w="4461"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Style w:val="17"/>
                <w:rFonts w:ascii="宋体" w:hAnsi="宋体"/>
                <w:snapToGrid w:val="0"/>
                <w:color w:val="auto"/>
                <w:kern w:val="0"/>
                <w:sz w:val="24"/>
                <w:szCs w:val="24"/>
                <w:highlight w:val="none"/>
              </w:rPr>
              <w:t>业绩要求</w:t>
            </w:r>
          </w:p>
        </w:tc>
      </w:tr>
      <w:tr w14:paraId="2951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67EDDE6A">
            <w:pPr>
              <w:adjustRightInd w:val="0"/>
              <w:snapToGrid w:val="0"/>
              <w:spacing w:line="240" w:lineRule="auto"/>
              <w:jc w:val="both"/>
              <w:rPr>
                <w:rStyle w:val="17"/>
                <w:rFonts w:hint="default" w:hAnsi="宋体" w:eastAsia="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一标段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06EF778A">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近3年内（2023年5月1日至投标截止时间，以合同签订时间为准），完成过一项所投品牌的可变信息标志供货业绩。</w:t>
            </w:r>
          </w:p>
        </w:tc>
      </w:tr>
      <w:tr w14:paraId="53576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14732B93">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二标段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413ED703">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近3年内（2023年5月1日至投标截止时间，以合同签订时间为准），完成过一项所投品牌的升、降压设备供货业绩。</w:t>
            </w:r>
          </w:p>
        </w:tc>
      </w:tr>
      <w:tr w14:paraId="0F888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0341A7B5">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三标段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38CBDAD1">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近3年内（2023年5月1日至投标截止时间，以合同签订时间为准），完成一项所投品牌的北斗基站设备供货业绩。</w:t>
            </w:r>
          </w:p>
        </w:tc>
      </w:tr>
      <w:tr w14:paraId="12B3C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34357469">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四标段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3E66884E">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近3年内（2023年5月1日至投标截止时间，以合同签订时间为准），完成过一项所投品牌的电机智能传感器供货业绩。</w:t>
            </w:r>
          </w:p>
        </w:tc>
      </w:tr>
      <w:tr w14:paraId="2DC61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1CB0338E">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五标段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2BB6FC4F">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近3年内（2023年5月1日至投标截止时间，以合同签订时间为准），完成过一项所投品牌的抓拍摄像机供货业绩。</w:t>
            </w:r>
          </w:p>
        </w:tc>
      </w:tr>
      <w:tr w14:paraId="4CE04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26C8DA36">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六标段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61752EAC">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近3年内（2023年5月1日至投标截止时间，以合同签订时间为准），完成过一项所投品牌的称重系统设备供货业绩。</w:t>
            </w:r>
          </w:p>
        </w:tc>
      </w:tr>
      <w:tr w14:paraId="26603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68B95CAC">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七标段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2281E91E">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近3年内（2023年5月1日至投标截止时间，以合同签订时间为准），完成过一项所投品牌的路线诱导装置设备供货业绩。</w:t>
            </w:r>
          </w:p>
        </w:tc>
      </w:tr>
    </w:tbl>
    <w:p w14:paraId="3F0A4072">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0"/>
          <w:sz w:val="24"/>
          <w:szCs w:val="24"/>
          <w:highlight w:val="none"/>
          <w:lang w:val="en-US" w:eastAsia="zh-CN" w:bidi="ar"/>
        </w:rPr>
      </w:pPr>
      <w:r>
        <w:rPr>
          <w:rFonts w:hint="eastAsia" w:ascii="宋体" w:hAnsi="宋体" w:eastAsia="宋体" w:cs="宋体"/>
          <w:b/>
          <w:bCs/>
          <w:kern w:val="0"/>
          <w:sz w:val="24"/>
          <w:szCs w:val="24"/>
          <w:highlight w:val="none"/>
          <w:lang w:val="en-US" w:eastAsia="zh-CN" w:bidi="ar"/>
        </w:rPr>
        <w:t>注：</w:t>
      </w:r>
      <w:r>
        <w:rPr>
          <w:rFonts w:hint="eastAsia" w:ascii="宋体" w:hAnsi="宋体" w:cs="宋体"/>
          <w:b/>
          <w:bCs/>
          <w:kern w:val="0"/>
          <w:sz w:val="24"/>
          <w:szCs w:val="24"/>
          <w:highlight w:val="none"/>
          <w:lang w:val="en-US" w:eastAsia="zh-CN" w:bidi="ar"/>
        </w:rPr>
        <w:t>（1）四标段</w:t>
      </w:r>
      <w:r>
        <w:rPr>
          <w:rFonts w:hint="eastAsia" w:ascii="宋体" w:hAnsi="宋体" w:eastAsia="宋体" w:cs="宋体"/>
          <w:b/>
          <w:bCs/>
          <w:kern w:val="0"/>
          <w:sz w:val="24"/>
          <w:szCs w:val="24"/>
          <w:highlight w:val="none"/>
          <w:lang w:val="en-US" w:eastAsia="zh-CN" w:bidi="ar"/>
        </w:rPr>
        <w:t>代理商和制造商的业绩不可互用</w:t>
      </w:r>
      <w:r>
        <w:rPr>
          <w:rFonts w:hint="eastAsia" w:ascii="宋体" w:hAnsi="宋体" w:cs="宋体"/>
          <w:b/>
          <w:bCs/>
          <w:kern w:val="0"/>
          <w:sz w:val="24"/>
          <w:szCs w:val="24"/>
          <w:highlight w:val="none"/>
          <w:lang w:val="en-US" w:eastAsia="zh-CN" w:bidi="ar"/>
        </w:rPr>
        <w:t>。</w:t>
      </w:r>
    </w:p>
    <w:p w14:paraId="77EBE237">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Times New Roman"/>
          <w:b/>
          <w:bCs/>
          <w:kern w:val="0"/>
          <w:sz w:val="24"/>
          <w:szCs w:val="24"/>
          <w:highlight w:val="none"/>
        </w:rPr>
      </w:pPr>
      <w:r>
        <w:rPr>
          <w:rFonts w:hint="eastAsia" w:ascii="宋体" w:hAnsi="宋体" w:cs="宋体"/>
          <w:b/>
          <w:bCs/>
          <w:kern w:val="0"/>
          <w:sz w:val="24"/>
          <w:szCs w:val="24"/>
          <w:highlight w:val="none"/>
          <w:lang w:val="en-US" w:eastAsia="zh-CN" w:bidi="ar"/>
        </w:rPr>
        <w:t>（2）所有标段</w:t>
      </w:r>
      <w:r>
        <w:rPr>
          <w:rFonts w:hint="eastAsia" w:ascii="宋体" w:hAnsi="宋体" w:eastAsia="宋体" w:cs="宋体"/>
          <w:b/>
          <w:bCs/>
          <w:kern w:val="0"/>
          <w:sz w:val="24"/>
          <w:szCs w:val="24"/>
          <w:highlight w:val="none"/>
          <w:lang w:val="en-US" w:eastAsia="zh-CN" w:bidi="ar"/>
        </w:rPr>
        <w:t>业绩不包含制造商和代理商签订的合同</w:t>
      </w:r>
      <w:r>
        <w:rPr>
          <w:rFonts w:hint="eastAsia" w:ascii="宋体" w:hAnsi="宋体" w:cs="宋体"/>
          <w:b/>
          <w:bCs/>
          <w:kern w:val="0"/>
          <w:sz w:val="24"/>
          <w:szCs w:val="24"/>
          <w:highlight w:val="none"/>
          <w:lang w:val="en-US" w:eastAsia="zh-CN" w:bidi="ar"/>
        </w:rPr>
        <w:t>。</w:t>
      </w:r>
    </w:p>
    <w:p w14:paraId="5A98957C">
      <w:pPr>
        <w:adjustRightInd w:val="0"/>
        <w:snapToGrid w:val="0"/>
        <w:spacing w:line="360" w:lineRule="auto"/>
        <w:jc w:val="center"/>
        <w:rPr>
          <w:rFonts w:ascii="宋体" w:hAnsi="宋体"/>
          <w:b/>
          <w:bCs/>
          <w:snapToGrid w:val="0"/>
          <w:color w:val="auto"/>
          <w:kern w:val="0"/>
          <w:sz w:val="24"/>
          <w:szCs w:val="24"/>
          <w:highlight w:val="none"/>
        </w:rPr>
      </w:pPr>
    </w:p>
    <w:p w14:paraId="5758ADE0">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Style w:val="17"/>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31E71AB0">
            <w:pPr>
              <w:pStyle w:val="15"/>
              <w:spacing w:line="240" w:lineRule="auto"/>
              <w:ind w:firstLineChars="200"/>
              <w:rPr>
                <w:rStyle w:val="17"/>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月1日至今）不曾在</w:t>
            </w:r>
            <w:r>
              <w:rPr>
                <w:rFonts w:hint="eastAsia" w:ascii="宋体" w:hAnsi="宋体"/>
                <w:snapToGrid w:val="0"/>
                <w:color w:val="auto"/>
                <w:sz w:val="24"/>
                <w:szCs w:val="24"/>
                <w:highlight w:val="none"/>
                <w:lang w:val="en-US" w:eastAsia="zh-CN" w:bidi="ar"/>
              </w:rPr>
              <w:t>高速公路机电</w:t>
            </w:r>
            <w:r>
              <w:rPr>
                <w:rFonts w:hint="eastAsia" w:ascii="宋体" w:hAnsi="宋体"/>
                <w:snapToGrid w:val="0"/>
                <w:color w:val="auto"/>
                <w:sz w:val="24"/>
                <w:szCs w:val="24"/>
                <w:highlight w:val="none"/>
                <w:lang w:bidi="ar"/>
              </w:rPr>
              <w:t>设备供货合同中违约而被驱逐或因投标人自身的原因而使</w:t>
            </w:r>
            <w:r>
              <w:rPr>
                <w:rFonts w:hint="eastAsia" w:ascii="宋体" w:hAnsi="宋体"/>
                <w:snapToGrid w:val="0"/>
                <w:color w:val="auto"/>
                <w:sz w:val="24"/>
                <w:szCs w:val="24"/>
                <w:highlight w:val="none"/>
                <w:lang w:val="en-US" w:eastAsia="zh-CN" w:bidi="ar"/>
              </w:rPr>
              <w:t>高速公路机电</w:t>
            </w:r>
            <w:r>
              <w:rPr>
                <w:rFonts w:hint="eastAsia" w:ascii="宋体" w:hAnsi="宋体"/>
                <w:snapToGrid w:val="0"/>
                <w:color w:val="auto"/>
                <w:sz w:val="24"/>
                <w:szCs w:val="24"/>
                <w:highlight w:val="none"/>
                <w:lang w:bidi="ar"/>
              </w:rPr>
              <w:t>设备供货合同被解除。</w:t>
            </w:r>
          </w:p>
        </w:tc>
      </w:tr>
    </w:tbl>
    <w:p w14:paraId="6A03DBA2">
      <w:pPr>
        <w:jc w:val="center"/>
        <w:rPr>
          <w:rFonts w:hint="eastAsia" w:ascii="黑体" w:hAnsi="黑体" w:eastAsia="黑体" w:cs="黑体"/>
          <w:bCs/>
          <w:sz w:val="24"/>
        </w:rPr>
      </w:pPr>
    </w:p>
    <w:p w14:paraId="12833400">
      <w:pPr>
        <w:jc w:val="center"/>
        <w:rPr>
          <w:rFonts w:hint="eastAsia" w:ascii="黑体" w:hAnsi="黑体" w:eastAsia="黑体" w:cs="黑体"/>
          <w:bCs/>
          <w:sz w:val="24"/>
          <w:highlight w:val="yellow"/>
        </w:rPr>
      </w:pPr>
    </w:p>
    <w:p w14:paraId="14473B31">
      <w:pPr>
        <w:jc w:val="center"/>
        <w:rPr>
          <w:rFonts w:hint="eastAsia" w:ascii="黑体" w:hAnsi="黑体" w:eastAsia="黑体" w:cs="黑体"/>
          <w:bCs/>
          <w:sz w:val="24"/>
          <w:highlight w:val="none"/>
          <w:lang w:eastAsia="zh-CN"/>
        </w:rPr>
      </w:pPr>
      <w:r>
        <w:rPr>
          <w:rFonts w:hint="eastAsia" w:ascii="黑体" w:hAnsi="黑体" w:eastAsia="黑体" w:cs="黑体"/>
          <w:bCs/>
          <w:sz w:val="24"/>
          <w:highlight w:val="none"/>
        </w:rPr>
        <w:t>附录</w:t>
      </w:r>
      <w:r>
        <w:rPr>
          <w:rFonts w:hint="eastAsia" w:ascii="黑体" w:hAnsi="黑体" w:eastAsia="黑体" w:cs="黑体"/>
          <w:bCs/>
          <w:sz w:val="24"/>
          <w:highlight w:val="none"/>
          <w:lang w:val="en-US" w:eastAsia="zh-CN"/>
        </w:rPr>
        <w:t>4</w:t>
      </w:r>
      <w:r>
        <w:rPr>
          <w:rFonts w:hint="eastAsia" w:ascii="黑体" w:hAnsi="黑体" w:eastAsia="黑体" w:cs="黑体"/>
          <w:bCs/>
          <w:sz w:val="24"/>
          <w:highlight w:val="none"/>
        </w:rPr>
        <w:t>　资格审查条件（财务最低要求）</w:t>
      </w:r>
      <w:r>
        <w:rPr>
          <w:rFonts w:hint="eastAsia" w:ascii="黑体" w:hAnsi="黑体" w:eastAsia="黑体" w:cs="黑体"/>
          <w:bCs/>
          <w:sz w:val="24"/>
          <w:highlight w:val="none"/>
          <w:lang w:eastAsia="zh-CN"/>
        </w:rPr>
        <w:t>）</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F4C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noWrap w:val="0"/>
            <w:vAlign w:val="center"/>
          </w:tcPr>
          <w:p w14:paraId="6774AB59">
            <w:pPr>
              <w:jc w:val="center"/>
              <w:rPr>
                <w:rFonts w:ascii="宋体" w:hAnsi="宋体"/>
              </w:rPr>
            </w:pPr>
            <w:r>
              <w:rPr>
                <w:rFonts w:hint="eastAsia" w:ascii="宋体" w:hAnsi="宋体"/>
              </w:rPr>
              <w:t>财务要求</w:t>
            </w:r>
          </w:p>
        </w:tc>
      </w:tr>
      <w:tr w14:paraId="7B2D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5000" w:type="pct"/>
            <w:noWrap w:val="0"/>
            <w:vAlign w:val="center"/>
          </w:tcPr>
          <w:p w14:paraId="1D4091B4">
            <w:pPr>
              <w:pStyle w:val="15"/>
              <w:spacing w:line="240" w:lineRule="auto"/>
              <w:ind w:firstLineChars="200"/>
              <w:rPr>
                <w:rFonts w:hint="eastAsia" w:ascii="宋体" w:hAnsi="宋体" w:eastAsia="宋体"/>
                <w:szCs w:val="21"/>
                <w:lang w:val="en-US" w:eastAsia="zh-CN"/>
              </w:rPr>
            </w:pPr>
            <w:r>
              <w:rPr>
                <w:rFonts w:hint="eastAsia" w:ascii="宋体" w:hAnsi="宋体"/>
                <w:snapToGrid w:val="0"/>
                <w:color w:val="auto"/>
                <w:sz w:val="24"/>
                <w:szCs w:val="24"/>
                <w:highlight w:val="none"/>
                <w:lang w:bidi="ar"/>
              </w:rPr>
              <w:t>为本</w:t>
            </w:r>
            <w:r>
              <w:rPr>
                <w:rFonts w:hint="eastAsia" w:ascii="宋体" w:hAnsi="宋体"/>
                <w:snapToGrid w:val="0"/>
                <w:color w:val="auto"/>
                <w:sz w:val="24"/>
                <w:szCs w:val="24"/>
                <w:highlight w:val="none"/>
                <w:lang w:val="en-US" w:eastAsia="zh-CN" w:bidi="ar"/>
              </w:rPr>
              <w:t>项目</w:t>
            </w:r>
            <w:r>
              <w:rPr>
                <w:rFonts w:hint="eastAsia" w:ascii="宋体" w:hAnsi="宋体"/>
                <w:snapToGrid w:val="0"/>
                <w:color w:val="auto"/>
                <w:sz w:val="24"/>
                <w:szCs w:val="24"/>
                <w:highlight w:val="none"/>
                <w:lang w:bidi="ar"/>
              </w:rPr>
              <w:t>所提供的营运资金(以经会计事务所</w:t>
            </w:r>
            <w:r>
              <w:rPr>
                <w:rFonts w:hint="eastAsia" w:ascii="宋体" w:hAnsi="宋体"/>
                <w:snapToGrid w:val="0"/>
                <w:color w:val="auto"/>
                <w:sz w:val="24"/>
                <w:szCs w:val="24"/>
                <w:highlight w:val="none"/>
                <w:lang w:val="en-US" w:eastAsia="zh-CN" w:bidi="ar"/>
              </w:rPr>
              <w:t>出具的2025年度</w:t>
            </w:r>
            <w:r>
              <w:rPr>
                <w:rFonts w:hint="eastAsia" w:ascii="宋体" w:hAnsi="宋体"/>
                <w:snapToGrid w:val="0"/>
                <w:color w:val="auto"/>
                <w:sz w:val="24"/>
                <w:szCs w:val="24"/>
                <w:highlight w:val="none"/>
                <w:lang w:bidi="ar"/>
              </w:rPr>
              <w:t>财务报表中：营运资金＝流动资产－流动负债，以年末数计算)以及为本项目而专门开具的银行信贷证明总和不得低于一标段</w:t>
            </w:r>
            <w:r>
              <w:rPr>
                <w:rFonts w:hint="eastAsia" w:ascii="宋体" w:hAnsi="宋体"/>
                <w:snapToGrid w:val="0"/>
                <w:color w:val="auto"/>
                <w:sz w:val="24"/>
                <w:szCs w:val="24"/>
                <w:highlight w:val="none"/>
                <w:lang w:val="en-US" w:eastAsia="zh-CN" w:bidi="ar"/>
              </w:rPr>
              <w:t xml:space="preserve"> 240 </w:t>
            </w:r>
            <w:r>
              <w:rPr>
                <w:rFonts w:hint="eastAsia" w:ascii="宋体" w:hAnsi="宋体"/>
                <w:snapToGrid w:val="0"/>
                <w:color w:val="auto"/>
                <w:sz w:val="24"/>
                <w:szCs w:val="24"/>
                <w:highlight w:val="none"/>
                <w:lang w:bidi="ar"/>
              </w:rPr>
              <w:t>万元、二标段</w:t>
            </w:r>
            <w:r>
              <w:rPr>
                <w:rFonts w:hint="eastAsia" w:ascii="宋体" w:hAnsi="宋体"/>
                <w:snapToGrid w:val="0"/>
                <w:color w:val="auto"/>
                <w:sz w:val="24"/>
                <w:szCs w:val="24"/>
                <w:highlight w:val="none"/>
                <w:lang w:val="en-US" w:eastAsia="zh-CN" w:bidi="ar"/>
              </w:rPr>
              <w:t xml:space="preserve"> 60 </w:t>
            </w:r>
            <w:r>
              <w:rPr>
                <w:rFonts w:hint="eastAsia" w:ascii="宋体" w:hAnsi="宋体"/>
                <w:snapToGrid w:val="0"/>
                <w:color w:val="auto"/>
                <w:sz w:val="24"/>
                <w:szCs w:val="24"/>
                <w:highlight w:val="none"/>
                <w:lang w:bidi="ar"/>
              </w:rPr>
              <w:t>万元、三标段</w:t>
            </w:r>
            <w:r>
              <w:rPr>
                <w:rFonts w:hint="eastAsia" w:ascii="宋体" w:hAnsi="宋体"/>
                <w:snapToGrid w:val="0"/>
                <w:color w:val="auto"/>
                <w:sz w:val="24"/>
                <w:szCs w:val="24"/>
                <w:highlight w:val="none"/>
                <w:lang w:val="en-US" w:eastAsia="zh-CN" w:bidi="ar"/>
              </w:rPr>
              <w:t xml:space="preserve"> 2300 </w:t>
            </w:r>
            <w:r>
              <w:rPr>
                <w:rFonts w:hint="eastAsia" w:ascii="宋体" w:hAnsi="宋体"/>
                <w:snapToGrid w:val="0"/>
                <w:color w:val="auto"/>
                <w:sz w:val="24"/>
                <w:szCs w:val="24"/>
                <w:highlight w:val="none"/>
                <w:lang w:bidi="ar"/>
              </w:rPr>
              <w:t>万元、四标段</w:t>
            </w:r>
            <w:r>
              <w:rPr>
                <w:rFonts w:hint="eastAsia" w:ascii="宋体" w:hAnsi="宋体"/>
                <w:snapToGrid w:val="0"/>
                <w:color w:val="auto"/>
                <w:sz w:val="24"/>
                <w:szCs w:val="24"/>
                <w:highlight w:val="none"/>
                <w:lang w:val="en-US" w:eastAsia="zh-CN" w:bidi="ar"/>
              </w:rPr>
              <w:t xml:space="preserve"> 740 </w:t>
            </w:r>
            <w:r>
              <w:rPr>
                <w:rFonts w:hint="eastAsia" w:ascii="宋体" w:hAnsi="宋体"/>
                <w:snapToGrid w:val="0"/>
                <w:color w:val="auto"/>
                <w:sz w:val="24"/>
                <w:szCs w:val="24"/>
                <w:highlight w:val="none"/>
                <w:lang w:bidi="ar"/>
              </w:rPr>
              <w:t>万元</w:t>
            </w:r>
            <w:r>
              <w:rPr>
                <w:rFonts w:hint="eastAsia" w:ascii="宋体" w:hAnsi="宋体"/>
                <w:snapToGrid w:val="0"/>
                <w:color w:val="auto"/>
                <w:sz w:val="24"/>
                <w:szCs w:val="24"/>
                <w:highlight w:val="none"/>
                <w:lang w:eastAsia="zh-CN" w:bidi="ar"/>
              </w:rPr>
              <w:t>、五标段</w:t>
            </w:r>
            <w:r>
              <w:rPr>
                <w:rFonts w:hint="eastAsia" w:ascii="宋体" w:hAnsi="宋体"/>
                <w:snapToGrid w:val="0"/>
                <w:color w:val="auto"/>
                <w:sz w:val="24"/>
                <w:szCs w:val="24"/>
                <w:highlight w:val="none"/>
                <w:lang w:val="en-US" w:eastAsia="zh-CN" w:bidi="ar"/>
              </w:rPr>
              <w:t>250</w:t>
            </w:r>
            <w:r>
              <w:rPr>
                <w:rFonts w:hint="eastAsia" w:ascii="宋体" w:hAnsi="宋体"/>
                <w:snapToGrid w:val="0"/>
                <w:color w:val="auto"/>
                <w:sz w:val="24"/>
                <w:szCs w:val="24"/>
                <w:highlight w:val="none"/>
                <w:lang w:bidi="ar"/>
              </w:rPr>
              <w:t>万元</w:t>
            </w:r>
            <w:r>
              <w:rPr>
                <w:rFonts w:hint="eastAsia" w:ascii="宋体" w:hAnsi="宋体"/>
                <w:snapToGrid w:val="0"/>
                <w:color w:val="auto"/>
                <w:sz w:val="24"/>
                <w:szCs w:val="24"/>
                <w:highlight w:val="none"/>
                <w:lang w:eastAsia="zh-CN" w:bidi="ar"/>
              </w:rPr>
              <w:t>、</w:t>
            </w:r>
            <w:r>
              <w:rPr>
                <w:rFonts w:hint="eastAsia" w:ascii="宋体" w:hAnsi="宋体"/>
                <w:snapToGrid w:val="0"/>
                <w:color w:val="auto"/>
                <w:sz w:val="24"/>
                <w:szCs w:val="24"/>
                <w:highlight w:val="none"/>
                <w:lang w:val="en-US" w:eastAsia="zh-CN" w:bidi="ar"/>
              </w:rPr>
              <w:t>六标段630万元、七标段 500 万元。</w:t>
            </w:r>
          </w:p>
        </w:tc>
      </w:tr>
    </w:tbl>
    <w:p w14:paraId="2F215673">
      <w:pPr>
        <w:widowControl/>
        <w:jc w:val="left"/>
        <w:rPr>
          <w:rFonts w:ascii="宋体" w:hAnsi="宋体"/>
          <w:b/>
          <w:sz w:val="24"/>
        </w:rPr>
      </w:pPr>
    </w:p>
    <w:p w14:paraId="04B13BA1">
      <w:pPr>
        <w:pStyle w:val="7"/>
        <w:rPr>
          <w:rFonts w:hint="eastAsia"/>
        </w:rPr>
      </w:pPr>
    </w:p>
    <w:p w14:paraId="0D5E5E6D">
      <w:pPr>
        <w:pStyle w:val="4"/>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47943860"/>
      <w:bookmarkStart w:id="1" w:name="_Toc136511007"/>
      <w:bookmarkStart w:id="2" w:name="_Toc16918"/>
      <w:bookmarkStart w:id="3" w:name="_Toc10475"/>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6EFE227B">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531949857"/>
      <w:bookmarkStart w:id="5" w:name="_Toc134890522"/>
      <w:bookmarkStart w:id="6" w:name="_Toc450319202"/>
      <w:bookmarkStart w:id="7" w:name="_Toc134792892"/>
      <w:bookmarkStart w:id="8" w:name="_Toc509659998"/>
      <w:bookmarkStart w:id="9" w:name="_Toc134792341"/>
      <w:bookmarkStart w:id="10" w:name="_Toc134792409"/>
      <w:bookmarkStart w:id="11" w:name="_Toc459307890"/>
      <w:bookmarkStart w:id="12" w:name="_Toc509660966"/>
      <w:bookmarkStart w:id="13" w:name="_Toc502992691"/>
      <w:bookmarkStart w:id="14" w:name="_Toc134890444"/>
      <w:bookmarkStart w:id="15" w:name="_Toc444271617"/>
      <w:bookmarkStart w:id="16" w:name="_Toc445382083"/>
      <w:bookmarkStart w:id="17" w:name="_Toc445222503"/>
      <w:bookmarkStart w:id="18" w:name="_Toc444088432"/>
      <w:r>
        <w:rPr>
          <w:rFonts w:ascii="宋体" w:hAnsi="宋体"/>
          <w:b/>
          <w:bCs/>
          <w:snapToGrid w:val="0"/>
          <w:color w:val="auto"/>
          <w:kern w:val="0"/>
          <w:sz w:val="24"/>
          <w:highlight w:val="none"/>
        </w:rPr>
        <w:t>评标办法（技术评分最低标价法）</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2"/>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3156367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171D386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eastAsia="宋体" w:cs="宋体"/>
                <w:color w:val="auto"/>
                <w:sz w:val="24"/>
                <w:szCs w:val="24"/>
                <w:highlight w:val="none"/>
                <w:lang w:val="en-US" w:eastAsia="zh-CN"/>
              </w:rPr>
              <w:t>暗标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技术暗标得分也相同的，以</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未进入前3名的投标人，其第二信封不予开封。</w:t>
            </w:r>
          </w:p>
          <w:p w14:paraId="00B60BB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评标委员会按评标价由低到高的顺序，向招标人推荐1-3名中标候选人。</w:t>
            </w:r>
          </w:p>
          <w:p w14:paraId="2E95DF5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39260C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（1）第一个信封技术得分较高的优先；</w:t>
            </w:r>
          </w:p>
          <w:p w14:paraId="3AF304AC">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第一个信封（商务文件）评审标准：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5E31544C">
            <w:pPr>
              <w:snapToGrid w:val="0"/>
              <w:spacing w:line="24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（11）投标人递交的投标文件与所投标段一致。</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并按照招标文件1.11.3款规定列举相关材料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4</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16BF593C">
            <w:pPr>
              <w:snapToGrid w:val="0"/>
              <w:spacing w:line="320" w:lineRule="exact"/>
              <w:jc w:val="left"/>
              <w:textAlignment w:val="baseline"/>
              <w:rPr>
                <w:rFonts w:hint="eastAsia" w:ascii="宋体" w:hAnsi="宋体" w:cs="宋体"/>
                <w:strike w:val="0"/>
                <w:dstrike w:val="0"/>
                <w:color w:val="auto"/>
                <w:kern w:val="0"/>
                <w:szCs w:val="21"/>
                <w:highlight w:val="none"/>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kern w:val="0"/>
                <w:szCs w:val="21"/>
                <w:highlight w:val="none"/>
              </w:rPr>
              <w:t xml:space="preserve"> </w:t>
            </w:r>
          </w:p>
          <w:p w14:paraId="3477C4BA">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w:t>
            </w:r>
            <w:r>
              <w:rPr>
                <w:rFonts w:hint="eastAsia" w:ascii="宋体" w:hAnsi="宋体" w:cs="宋体"/>
                <w:strike w:val="0"/>
                <w:dstrike w:val="0"/>
                <w:color w:val="auto"/>
                <w:sz w:val="24"/>
                <w:szCs w:val="24"/>
                <w:highlight w:val="none"/>
                <w:lang w:val="en-US" w:eastAsia="zh-CN"/>
              </w:rPr>
              <w:t>15</w:t>
            </w:r>
            <w:r>
              <w:rPr>
                <w:rFonts w:hint="eastAsia" w:ascii="宋体" w:hAnsi="宋体" w:eastAsia="宋体" w:cs="宋体"/>
                <w:strike w:val="0"/>
                <w:dstrike w:val="0"/>
                <w:color w:val="auto"/>
                <w:sz w:val="24"/>
                <w:szCs w:val="24"/>
                <w:highlight w:val="none"/>
                <w:lang w:val="en-US" w:eastAsia="zh-CN"/>
              </w:rPr>
              <w:t>）投标人不存在投标人须知前附表4.4(1)、(3)项规定的情形。</w:t>
            </w:r>
          </w:p>
          <w:p w14:paraId="070EDB7E">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w:t>
            </w:r>
            <w:r>
              <w:rPr>
                <w:rFonts w:hint="eastAsia" w:ascii="宋体" w:hAnsi="宋体" w:cs="宋体"/>
                <w:strike w:val="0"/>
                <w:dstrike w:val="0"/>
                <w:color w:val="auto"/>
                <w:sz w:val="24"/>
                <w:szCs w:val="24"/>
                <w:highlight w:val="none"/>
                <w:lang w:val="en-US" w:eastAsia="zh-CN"/>
              </w:rPr>
              <w:t>6</w:t>
            </w:r>
            <w:r>
              <w:rPr>
                <w:rFonts w:hint="eastAsia" w:ascii="宋体" w:hAnsi="宋体" w:eastAsia="宋体" w:cs="宋体"/>
                <w:strike w:val="0"/>
                <w:dstrike w:val="0"/>
                <w:color w:val="auto"/>
                <w:sz w:val="24"/>
                <w:szCs w:val="24"/>
                <w:highlight w:val="none"/>
                <w:lang w:val="en-US" w:eastAsia="zh-CN"/>
              </w:rPr>
              <w:t>）投标人不存在因投标人须知前附表4.4(2)项规定的情形被评标委员会认定为其他异常投标情形。</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none"/>
                <w:lang w:val="en-US" w:eastAsia="zh-CN"/>
              </w:rPr>
              <w:t>技术建议书（暗标）编制符合招标文件第二章“投标人须知”第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补遗书编号（如有）、投标价（包括大写金额和小写金额）；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的所投标段</w:t>
            </w:r>
            <w:r>
              <w:rPr>
                <w:rFonts w:hint="eastAsia" w:ascii="宋体" w:hAnsi="宋体" w:eastAsia="宋体" w:cs="宋体"/>
                <w:color w:val="auto"/>
                <w:sz w:val="24"/>
                <w:szCs w:val="24"/>
                <w:highlight w:val="none"/>
              </w:rPr>
              <w:t>的最高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11EFB639">
            <w:pPr>
              <w:snapToGrid w:val="0"/>
              <w:spacing w:line="32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金额与投标函大写金额一致。</w:t>
            </w:r>
          </w:p>
          <w:p w14:paraId="5FF85642">
            <w:pPr>
              <w:snapToGrid w:val="0"/>
              <w:spacing w:line="24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（7）投标人递交的投标文件与所投标段一致。</w:t>
            </w:r>
          </w:p>
          <w:p w14:paraId="51A744E8">
            <w:pPr>
              <w:snapToGrid w:val="0"/>
              <w:spacing w:line="320" w:lineRule="exact"/>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)投标人不存在因投标人须知前附表3.2.5项规定被评标委员会认定为低于成本或</w:t>
            </w:r>
            <w:r>
              <w:rPr>
                <w:rFonts w:hint="eastAsia" w:ascii="宋体" w:hAnsi="宋体" w:eastAsia="宋体" w:cs="宋体"/>
                <w:color w:val="auto"/>
                <w:sz w:val="24"/>
                <w:szCs w:val="24"/>
                <w:highlight w:val="none"/>
                <w:lang w:val="en-US" w:eastAsia="zh-CN"/>
              </w:rPr>
              <w:t>影</w:t>
            </w:r>
            <w:r>
              <w:rPr>
                <w:rFonts w:hint="eastAsia" w:ascii="宋体" w:hAnsi="宋体" w:eastAsia="宋体" w:cs="宋体"/>
                <w:color w:val="auto"/>
                <w:sz w:val="24"/>
                <w:szCs w:val="24"/>
                <w:highlight w:val="none"/>
                <w:lang w:eastAsia="zh-CN"/>
              </w:rPr>
              <w:t>响履约的异常低价</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lang w:eastAsia="zh-CN"/>
              </w:rPr>
              <w:t>标的情形。</w:t>
            </w:r>
          </w:p>
          <w:p w14:paraId="225D93C6">
            <w:pPr>
              <w:snapToGrid w:val="0"/>
              <w:spacing w:line="320" w:lineRule="exact"/>
              <w:jc w:val="left"/>
              <w:textAlignment w:val="baseline"/>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w:t>
            </w:r>
            <w:r>
              <w:rPr>
                <w:rFonts w:hint="eastAsia" w:ascii="宋体" w:hAnsi="宋体" w:cs="宋体"/>
                <w:strike w:val="0"/>
                <w:dstrike w:val="0"/>
                <w:color w:val="auto"/>
                <w:sz w:val="24"/>
                <w:szCs w:val="24"/>
                <w:highlight w:val="none"/>
                <w:lang w:val="en-US" w:eastAsia="zh-CN"/>
              </w:rPr>
              <w:t>9</w:t>
            </w:r>
            <w:r>
              <w:rPr>
                <w:rFonts w:hint="eastAsia" w:ascii="宋体" w:hAnsi="宋体" w:eastAsia="宋体" w:cs="宋体"/>
                <w:strike w:val="0"/>
                <w:dstrike w:val="0"/>
                <w:color w:val="auto"/>
                <w:sz w:val="24"/>
                <w:szCs w:val="24"/>
                <w:highlight w:val="none"/>
                <w:lang w:val="en-US" w:eastAsia="zh-CN"/>
              </w:rPr>
              <w:t>）投标人不存在投标人须知前附表4.4(1)、(3)项规定的情形。</w:t>
            </w:r>
          </w:p>
          <w:p w14:paraId="67F73E12">
            <w:pPr>
              <w:snapToGrid w:val="0"/>
              <w:spacing w:line="320" w:lineRule="exact"/>
              <w:jc w:val="left"/>
              <w:textAlignment w:val="baseline"/>
              <w:rPr>
                <w:rFonts w:hint="default" w:eastAsia="宋体"/>
                <w:color w:val="auto"/>
                <w:highlight w:val="none"/>
                <w:lang w:val="en-US" w:eastAsia="zh-CN"/>
              </w:rPr>
            </w:pPr>
            <w:r>
              <w:rPr>
                <w:rFonts w:hint="eastAsia" w:ascii="宋体" w:hAnsi="宋体" w:eastAsia="宋体" w:cs="宋体"/>
                <w:strike w:val="0"/>
                <w:dstrike w:val="0"/>
                <w:color w:val="auto"/>
                <w:sz w:val="24"/>
                <w:szCs w:val="24"/>
                <w:highlight w:val="none"/>
                <w:lang w:val="en-US" w:eastAsia="zh-CN"/>
              </w:rPr>
              <w:t>（</w:t>
            </w:r>
            <w:r>
              <w:rPr>
                <w:rFonts w:hint="eastAsia" w:ascii="宋体" w:hAnsi="宋体" w:cs="宋体"/>
                <w:strike w:val="0"/>
                <w:dstrike w:val="0"/>
                <w:color w:val="auto"/>
                <w:sz w:val="24"/>
                <w:szCs w:val="24"/>
                <w:highlight w:val="none"/>
                <w:lang w:val="en-US" w:eastAsia="zh-CN"/>
              </w:rPr>
              <w:t>10</w:t>
            </w:r>
            <w:r>
              <w:rPr>
                <w:rFonts w:hint="eastAsia" w:ascii="宋体" w:hAnsi="宋体" w:eastAsia="宋体" w:cs="宋体"/>
                <w:strike w:val="0"/>
                <w:dstrike w:val="0"/>
                <w:color w:val="auto"/>
                <w:sz w:val="24"/>
                <w:szCs w:val="24"/>
                <w:highlight w:val="none"/>
                <w:lang w:val="en-US" w:eastAsia="zh-CN"/>
              </w:rPr>
              <w:t>）投标人不存在因投标人须知前附表4.4(2)项规定的情形被评标委员会认定为其他异常投标情形。</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3"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E2C76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（1）投标人具备有效的企业营业执照和基本账户开户许可证（或基本存款账户信息）；</w:t>
            </w:r>
          </w:p>
          <w:p w14:paraId="1A0EC9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817BA7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68A351F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54A55D91">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（5）投标人的</w:t>
            </w:r>
            <w:r>
              <w:rPr>
                <w:rFonts w:hint="eastAsia" w:ascii="宋体" w:hAnsi="宋体" w:eastAsia="宋体" w:cs="宋体"/>
                <w:color w:val="auto"/>
                <w:sz w:val="24"/>
                <w:szCs w:val="24"/>
                <w:highlight w:val="none"/>
                <w:lang w:val="en-US" w:eastAsia="zh-CN"/>
              </w:rPr>
              <w:t>财务</w:t>
            </w:r>
            <w:r>
              <w:rPr>
                <w:rFonts w:hint="eastAsia" w:ascii="宋体" w:hAnsi="宋体" w:eastAsia="宋体" w:cs="宋体"/>
                <w:color w:val="auto"/>
                <w:sz w:val="24"/>
                <w:szCs w:val="24"/>
                <w:highlight w:val="none"/>
              </w:rPr>
              <w:t>符合招标文件规定</w:t>
            </w:r>
            <w:r>
              <w:rPr>
                <w:rFonts w:hint="eastAsia" w:ascii="宋体" w:hAnsi="宋体" w:eastAsia="宋体" w:cs="宋体"/>
                <w:color w:val="auto"/>
                <w:sz w:val="24"/>
                <w:szCs w:val="24"/>
                <w:highlight w:val="none"/>
                <w:lang w:eastAsia="zh-CN"/>
              </w:rPr>
              <w:t>；</w:t>
            </w:r>
          </w:p>
          <w:p w14:paraId="206B7BC4">
            <w:p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0分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0分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642717A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2460" w:type="dxa"/>
            <w:gridSpan w:val="2"/>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本款修改为：</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 xml:space="preserve"> 投标人存在须知前附表3.2.5项情形的</w:t>
            </w:r>
            <w:r>
              <w:rPr>
                <w:rFonts w:hint="eastAsia" w:ascii="宋体" w:hAnsi="宋体" w:eastAsia="宋体" w:cs="宋体"/>
                <w:strike w:val="0"/>
                <w:dstrike w:val="0"/>
                <w:color w:val="auto"/>
                <w:sz w:val="24"/>
                <w:szCs w:val="24"/>
                <w:highlight w:val="none"/>
                <w:u w:val="none"/>
                <w:lang w:eastAsia="zh-CN"/>
              </w:rPr>
              <w:t>，</w:t>
            </w:r>
            <w:r>
              <w:rPr>
                <w:rFonts w:hint="eastAsia" w:ascii="宋体" w:hAnsi="宋体" w:eastAsia="宋体" w:cs="宋体"/>
                <w:strike w:val="0"/>
                <w:dstrike w:val="0"/>
                <w:color w:val="auto"/>
                <w:sz w:val="24"/>
                <w:szCs w:val="24"/>
                <w:highlight w:val="none"/>
                <w:u w:val="none"/>
                <w:lang w:val="en-US" w:eastAsia="zh-CN"/>
              </w:rPr>
              <w:t>评标委员会</w:t>
            </w:r>
            <w:r>
              <w:rPr>
                <w:rFonts w:hint="eastAsia" w:ascii="宋体" w:hAnsi="宋体" w:eastAsia="宋体" w:cs="宋体"/>
                <w:strike w:val="0"/>
                <w:dstrike w:val="0"/>
                <w:color w:val="auto"/>
                <w:sz w:val="24"/>
                <w:szCs w:val="24"/>
                <w:highlight w:val="none"/>
                <w:u w:val="none"/>
              </w:rPr>
              <w:t>应当要求该投标人作出书面说明并提供相应的证明材料</w:t>
            </w:r>
            <w:r>
              <w:rPr>
                <w:rFonts w:hint="eastAsia" w:ascii="宋体" w:hAnsi="宋体" w:eastAsia="宋体" w:cs="宋体"/>
                <w:strike w:val="0"/>
                <w:dstrike w:val="0"/>
                <w:color w:val="auto"/>
                <w:sz w:val="24"/>
                <w:szCs w:val="24"/>
                <w:highlight w:val="none"/>
                <w:u w:val="none"/>
                <w:lang w:val="en-US" w:eastAsia="zh-CN"/>
              </w:rPr>
              <w:t>。</w:t>
            </w:r>
            <w:r>
              <w:rPr>
                <w:rFonts w:hint="eastAsia" w:ascii="宋体" w:hAnsi="宋体" w:eastAsia="宋体" w:cs="宋体"/>
                <w:strike w:val="0"/>
                <w:dstrike w:val="0"/>
                <w:color w:val="auto"/>
                <w:sz w:val="24"/>
                <w:szCs w:val="24"/>
                <w:highlight w:val="none"/>
                <w:u w:val="none"/>
              </w:rPr>
              <w:t>投标人不能合理说明或者不能提供相应证明材料的，评标委员会应当认定该投标人以低于成本或影响履约的异常低价竞标，否决其投标。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3C828FC2">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4854F9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70CB323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（1）投标人信用情况网页截图内容与在</w:t>
            </w:r>
            <w:r>
              <w:rPr>
                <w:rFonts w:hint="eastAsia" w:ascii="宋体" w:hAnsi="宋体" w:eastAsia="宋体" w:cs="宋体"/>
                <w:snapToGrid w:val="0"/>
                <w:color w:val="auto"/>
                <w:sz w:val="24"/>
                <w:szCs w:val="24"/>
                <w:highlight w:val="none"/>
                <w:lang w:bidi="ar"/>
              </w:rPr>
              <w:t>国家企业信用信息公示系统（http://www.gsxt.gov.cn/）中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w:t>
            </w:r>
            <w:r>
              <w:rPr>
                <w:rFonts w:hint="eastAsia" w:ascii="宋体" w:hAnsi="宋体" w:eastAsia="宋体" w:cs="宋体"/>
                <w:snapToGrid w:val="0"/>
                <w:color w:val="auto"/>
                <w:sz w:val="24"/>
                <w:szCs w:val="24"/>
                <w:highlight w:val="none"/>
                <w:lang w:eastAsia="zh-CN" w:bidi="ar"/>
              </w:rPr>
              <w:t>列入严重违法失信名单（黑名单）信息</w:t>
            </w:r>
            <w:r>
              <w:rPr>
                <w:rFonts w:hint="eastAsia" w:ascii="宋体" w:hAnsi="宋体" w:eastAsia="宋体" w:cs="宋体"/>
                <w:snapToGrid w:val="0"/>
                <w:color w:val="auto"/>
                <w:sz w:val="24"/>
                <w:szCs w:val="24"/>
                <w:highlight w:val="none"/>
                <w:lang w:bidi="ar"/>
              </w:rPr>
              <w:t>（不含分公司）、在“信用中国”网站（http://www.creditchina.gov.cn/）中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被列入</w:t>
            </w:r>
            <w:r>
              <w:rPr>
                <w:rFonts w:hint="eastAsia" w:ascii="宋体" w:hAnsi="宋体" w:eastAsia="宋体" w:cs="宋体"/>
                <w:snapToGrid w:val="0"/>
                <w:color w:val="auto"/>
                <w:sz w:val="24"/>
                <w:szCs w:val="24"/>
                <w:highlight w:val="none"/>
                <w:lang w:eastAsia="zh-CN" w:bidi="ar"/>
              </w:rPr>
              <w:t>经营（活动）异常名录</w:t>
            </w:r>
            <w:r>
              <w:rPr>
                <w:rFonts w:hint="eastAsia" w:ascii="宋体" w:hAnsi="宋体" w:eastAsia="宋体" w:cs="宋体"/>
                <w:snapToGrid w:val="0"/>
                <w:color w:val="auto"/>
                <w:sz w:val="24"/>
                <w:szCs w:val="24"/>
                <w:highlight w:val="none"/>
                <w:lang w:bidi="ar"/>
              </w:rPr>
              <w:t>、重大税收违法失信主体</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政府采购严重违法失信行为记录名单（均不含分公司）</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在中国执行信息公开网（zxgk.court.gov.cn）中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被列入失信被执行人（不含分公司）</w:t>
            </w:r>
            <w:r>
              <w:rPr>
                <w:rFonts w:hint="eastAsia" w:ascii="宋体" w:hAnsi="宋体" w:eastAsia="宋体" w:cs="宋体"/>
                <w:color w:val="auto"/>
                <w:sz w:val="24"/>
                <w:szCs w:val="24"/>
                <w:highlight w:val="none"/>
              </w:rPr>
              <w:t>）的复核结果一致。如投标人未提供相关网页截图或所附截图与复核结果不一致导致不能满足资格评审要求的，评标委员会应否决其投标。</w:t>
            </w:r>
          </w:p>
          <w:p w14:paraId="2C4D60A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投标人应保证本款所附的全部截图的真实性。</w:t>
            </w:r>
            <w:r>
              <w:rPr>
                <w:rFonts w:hint="eastAsia" w:ascii="宋体" w:hAnsi="宋体" w:eastAsia="宋体" w:cs="宋体"/>
                <w:color w:val="auto"/>
                <w:sz w:val="24"/>
                <w:szCs w:val="24"/>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投标人其他异常投标情形</w:t>
            </w:r>
          </w:p>
        </w:tc>
        <w:tc>
          <w:tcPr>
            <w:tcW w:w="7197" w:type="dxa"/>
            <w:noWrap w:val="0"/>
            <w:vAlign w:val="center"/>
          </w:tcPr>
          <w:p w14:paraId="41548228">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（1）投标人不存在投标人须知前附表4.4(1)、(3)项规定的情形。</w:t>
            </w:r>
          </w:p>
          <w:p w14:paraId="02EB1634">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(2)投标人不存在因投标人须知前附表4.4(2)项规定的情形评标委员会</w:t>
            </w:r>
            <w:r>
              <w:rPr>
                <w:rFonts w:hint="eastAsia" w:ascii="宋体" w:hAnsi="宋体" w:eastAsia="宋体" w:cs="宋体"/>
                <w:strike w:val="0"/>
                <w:dstrike w:val="0"/>
                <w:color w:val="auto"/>
                <w:sz w:val="24"/>
                <w:szCs w:val="24"/>
                <w:highlight w:val="none"/>
              </w:rPr>
              <w:t>应当要求该投标人作出书面说明并提供相应的证明材料</w:t>
            </w:r>
            <w:r>
              <w:rPr>
                <w:rFonts w:hint="eastAsia" w:ascii="宋体" w:hAnsi="宋体" w:eastAsia="宋体"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投标人不能合理说明或者不能提供相应证明材料的，评标委员会应当认定该投标人</w:t>
            </w:r>
            <w:r>
              <w:rPr>
                <w:rFonts w:hint="eastAsia" w:ascii="宋体" w:hAnsi="宋体" w:eastAsia="宋体" w:cs="宋体"/>
                <w:strike w:val="0"/>
                <w:dstrike w:val="0"/>
                <w:color w:val="auto"/>
                <w:sz w:val="24"/>
                <w:szCs w:val="24"/>
                <w:highlight w:val="none"/>
                <w:lang w:eastAsia="zh-CN"/>
              </w:rPr>
              <w:t>的</w:t>
            </w:r>
            <w:r>
              <w:rPr>
                <w:rFonts w:hint="eastAsia" w:ascii="宋体" w:hAnsi="宋体" w:eastAsia="宋体" w:cs="宋体"/>
                <w:strike w:val="0"/>
                <w:dstrike w:val="0"/>
                <w:color w:val="auto"/>
                <w:sz w:val="24"/>
                <w:szCs w:val="24"/>
                <w:highlight w:val="none"/>
                <w:lang w:val="en-US" w:eastAsia="zh-CN"/>
              </w:rPr>
              <w:t>投标文件异常一致或投标活动异常关联情形。</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2"/>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06DD6880">
            <w:pPr>
              <w:pStyle w:val="9"/>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9"/>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9"/>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894"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0</w:t>
            </w:r>
            <w:r>
              <w:rPr>
                <w:rFonts w:hint="eastAsia" w:ascii="宋体" w:hAnsi="宋体" w:cs="宋体"/>
                <w:color w:val="auto"/>
                <w:sz w:val="24"/>
                <w:szCs w:val="24"/>
                <w:highlight w:val="none"/>
              </w:rPr>
              <w:t>分）</w:t>
            </w:r>
          </w:p>
        </w:tc>
        <w:tc>
          <w:tcPr>
            <w:tcW w:w="2216"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30分</w:t>
            </w:r>
          </w:p>
        </w:tc>
        <w:tc>
          <w:tcPr>
            <w:tcW w:w="4119"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满足资格审查条件(业绩最低要求)得18分；</w:t>
            </w:r>
          </w:p>
        </w:tc>
      </w:tr>
      <w:tr w14:paraId="43D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131CA5D">
            <w:pPr>
              <w:jc w:val="center"/>
              <w:rPr>
                <w:rFonts w:hint="eastAsia" w:ascii="宋体" w:hAnsi="宋体" w:cs="宋体"/>
                <w:color w:val="auto"/>
                <w:kern w:val="0"/>
                <w:sz w:val="24"/>
                <w:szCs w:val="24"/>
                <w:highlight w:val="none"/>
              </w:rPr>
            </w:pPr>
          </w:p>
        </w:tc>
        <w:tc>
          <w:tcPr>
            <w:tcW w:w="1186" w:type="dxa"/>
            <w:vMerge w:val="continue"/>
            <w:noWrap w:val="0"/>
            <w:vAlign w:val="center"/>
          </w:tcPr>
          <w:p w14:paraId="67D40068">
            <w:pPr>
              <w:jc w:val="center"/>
              <w:rPr>
                <w:rFonts w:hint="eastAsia" w:ascii="宋体" w:hAnsi="宋体" w:cs="宋体"/>
                <w:color w:val="auto"/>
                <w:kern w:val="0"/>
                <w:sz w:val="24"/>
                <w:szCs w:val="24"/>
                <w:highlight w:val="none"/>
              </w:rPr>
            </w:pPr>
          </w:p>
        </w:tc>
        <w:tc>
          <w:tcPr>
            <w:tcW w:w="2216" w:type="dxa"/>
            <w:vMerge w:val="continue"/>
            <w:noWrap w:val="0"/>
            <w:vAlign w:val="center"/>
          </w:tcPr>
          <w:p w14:paraId="6CC326B1">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7A735E45">
            <w:pPr>
              <w:jc w:val="center"/>
              <w:rPr>
                <w:rFonts w:hint="eastAsia" w:ascii="宋体" w:hAnsi="宋体" w:cs="宋体"/>
                <w:color w:val="auto"/>
                <w:kern w:val="0"/>
                <w:sz w:val="24"/>
                <w:szCs w:val="24"/>
                <w:highlight w:val="none"/>
              </w:rPr>
            </w:pPr>
          </w:p>
        </w:tc>
        <w:tc>
          <w:tcPr>
            <w:tcW w:w="4119" w:type="dxa"/>
            <w:noWrap w:val="0"/>
            <w:vAlign w:val="center"/>
          </w:tcPr>
          <w:p w14:paraId="17C3116F">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一标段：在满足资格审查条件的基础上，近3年内(2023年5月1日至投标截止时间，以合同签订时间为准)，每增加1项合同金额不少于400万元的所投品牌可变信息标志供货业绩的加6分，最多加12分</w:t>
            </w:r>
          </w:p>
        </w:tc>
      </w:tr>
      <w:tr w14:paraId="4050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exact"/>
          <w:jc w:val="center"/>
        </w:trPr>
        <w:tc>
          <w:tcPr>
            <w:tcW w:w="959" w:type="dxa"/>
            <w:vMerge w:val="continue"/>
            <w:noWrap w:val="0"/>
            <w:vAlign w:val="center"/>
          </w:tcPr>
          <w:p w14:paraId="1ACC4866">
            <w:pPr>
              <w:snapToGrid w:val="0"/>
              <w:spacing w:line="320" w:lineRule="exact"/>
            </w:pPr>
          </w:p>
        </w:tc>
        <w:tc>
          <w:tcPr>
            <w:tcW w:w="1186" w:type="dxa"/>
            <w:vMerge w:val="continue"/>
            <w:noWrap w:val="0"/>
            <w:vAlign w:val="center"/>
          </w:tcPr>
          <w:p w14:paraId="08C04942">
            <w:pPr>
              <w:snapToGrid w:val="0"/>
              <w:spacing w:line="320" w:lineRule="exact"/>
            </w:pPr>
          </w:p>
        </w:tc>
        <w:tc>
          <w:tcPr>
            <w:tcW w:w="2216" w:type="dxa"/>
            <w:vMerge w:val="continue"/>
            <w:noWrap w:val="0"/>
            <w:vAlign w:val="center"/>
          </w:tcPr>
          <w:p w14:paraId="2C7BBB9F">
            <w:pPr>
              <w:snapToGrid w:val="0"/>
              <w:spacing w:line="320" w:lineRule="exact"/>
            </w:pPr>
          </w:p>
        </w:tc>
        <w:tc>
          <w:tcPr>
            <w:tcW w:w="894" w:type="dxa"/>
            <w:vMerge w:val="continue"/>
            <w:noWrap w:val="0"/>
            <w:vAlign w:val="center"/>
          </w:tcPr>
          <w:p w14:paraId="374CB410">
            <w:pPr>
              <w:snapToGrid w:val="0"/>
              <w:spacing w:line="320" w:lineRule="exact"/>
            </w:pPr>
          </w:p>
        </w:tc>
        <w:tc>
          <w:tcPr>
            <w:tcW w:w="4119" w:type="dxa"/>
            <w:noWrap w:val="0"/>
            <w:vAlign w:val="center"/>
          </w:tcPr>
          <w:p w14:paraId="7B483AE6">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二标段：在满足资格审查条件的基础上，近3年内(2023年5月1日至投标截止时间，以合同签订时间为准)，每增加1项合同金额不少于60万元的所投品牌升、降压设备供货业绩的加6分，最多加12分。</w:t>
            </w:r>
          </w:p>
        </w:tc>
      </w:tr>
      <w:tr w14:paraId="7200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508E6F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704EF6BA">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3D66F0C8">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6E105D9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78963176">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三标段：在满足资格审查条件的基础上，近3年内(2023年5月1日至投标截止时间，以合同签订时间为准)，每增加1项合同金额不少于1900万的所投品牌北斗基站设备供货业绩的加6分，最多加12分。</w:t>
            </w:r>
          </w:p>
        </w:tc>
      </w:tr>
      <w:tr w14:paraId="2960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7B3DD3D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636DA07C">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4B0156EE">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28059973">
            <w:pPr>
              <w:snapToGrid w:val="0"/>
              <w:spacing w:line="320" w:lineRule="exact"/>
              <w:rPr>
                <w:rFonts w:hint="eastAsia" w:ascii="宋体" w:hAnsi="宋体" w:cs="宋体"/>
                <w:color w:val="auto"/>
                <w:sz w:val="24"/>
                <w:szCs w:val="24"/>
                <w:highlight w:val="none"/>
              </w:rPr>
            </w:pPr>
          </w:p>
        </w:tc>
        <w:tc>
          <w:tcPr>
            <w:tcW w:w="4119" w:type="dxa"/>
            <w:noWrap w:val="0"/>
            <w:vAlign w:val="center"/>
          </w:tcPr>
          <w:p w14:paraId="24FEFE9D">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四标段：在满足资格审查条件的基础上，近3年内(2023年5月1日至投标截止时间，以合同签订时间为准)，每增加1项合同金额不少于400万元的所投品牌电机智能传感器设备供货业绩的加6分，最多加12分。</w:t>
            </w:r>
          </w:p>
        </w:tc>
      </w:tr>
      <w:tr w14:paraId="399D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2AF0F8FA">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51582877">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2192BECB">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1D2AA155">
            <w:pPr>
              <w:snapToGrid w:val="0"/>
              <w:spacing w:line="320" w:lineRule="exact"/>
              <w:rPr>
                <w:rFonts w:hint="eastAsia" w:ascii="宋体" w:hAnsi="宋体" w:cs="宋体"/>
                <w:color w:val="auto"/>
                <w:sz w:val="24"/>
                <w:szCs w:val="24"/>
                <w:highlight w:val="none"/>
              </w:rPr>
            </w:pPr>
          </w:p>
        </w:tc>
        <w:tc>
          <w:tcPr>
            <w:tcW w:w="4119" w:type="dxa"/>
            <w:noWrap w:val="0"/>
            <w:vAlign w:val="center"/>
          </w:tcPr>
          <w:p w14:paraId="684491AB">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五标段：在满足资格审查条件的基础上，近3年内(2023年5月1日至投标截止时间，以合同签订时间为准)，每增加1项合同金额不少于200万元的所投品牌抓拍摄像机机设备供货业绩的加6分，最多加12分</w:t>
            </w:r>
            <w:r>
              <w:rPr>
                <w:rFonts w:hint="eastAsia" w:ascii="宋体" w:hAnsi="宋体" w:cs="宋体"/>
                <w:color w:val="auto"/>
                <w:sz w:val="24"/>
                <w:szCs w:val="24"/>
                <w:highlight w:val="none"/>
              </w:rPr>
              <w:t>。</w:t>
            </w:r>
          </w:p>
        </w:tc>
      </w:tr>
      <w:tr w14:paraId="1EA7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61798468">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66FDF265">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7964BC7E">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6160F39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6942437C">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六标段：在满足资格审查条件的基础上，近3年内(2023年5月1日至投标截止时间，以合同签订时间为准)，每增加1项合同金额不少于1900万元的所投品牌称重系统设备供货业绩的加6分，最多加12分</w:t>
            </w:r>
            <w:r>
              <w:rPr>
                <w:rFonts w:hint="eastAsia" w:ascii="宋体" w:hAnsi="宋体" w:cs="宋体"/>
                <w:color w:val="auto"/>
                <w:sz w:val="24"/>
                <w:szCs w:val="24"/>
                <w:highlight w:val="none"/>
              </w:rPr>
              <w:t>。</w:t>
            </w:r>
          </w:p>
        </w:tc>
      </w:tr>
      <w:tr w14:paraId="48AD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5E975A4C">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503FA8D9">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4977A8E0">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049E6892">
            <w:pPr>
              <w:snapToGrid w:val="0"/>
              <w:spacing w:line="320" w:lineRule="exact"/>
              <w:rPr>
                <w:rFonts w:hint="eastAsia" w:ascii="宋体" w:hAnsi="宋体" w:cs="宋体"/>
                <w:color w:val="auto"/>
                <w:sz w:val="24"/>
                <w:szCs w:val="24"/>
                <w:highlight w:val="none"/>
              </w:rPr>
            </w:pPr>
          </w:p>
        </w:tc>
        <w:tc>
          <w:tcPr>
            <w:tcW w:w="4119" w:type="dxa"/>
            <w:noWrap w:val="0"/>
            <w:vAlign w:val="center"/>
          </w:tcPr>
          <w:p w14:paraId="229D7561">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七标段：在满足资格审查条件的基础上，近3年内(2023年5月1日至投标截止时间，以合同签订时间为准)，每增加1项合同金额不少于300万元的所投品牌路线诱导装置设备供货业绩的加6分，最多加12分。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pStyle w:val="7"/>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7</w:t>
            </w:r>
            <w:r>
              <w:rPr>
                <w:color w:val="auto"/>
                <w:highlight w:val="none"/>
                <w:lang w:eastAsia="zh-CN"/>
              </w:rPr>
              <w:t>0</w:t>
            </w:r>
            <w:r>
              <w:rPr>
                <w:rFonts w:hint="eastAsia"/>
                <w:color w:val="auto"/>
                <w:highlight w:val="none"/>
                <w:lang w:eastAsia="zh-CN"/>
              </w:rPr>
              <w:t>分）</w:t>
            </w:r>
          </w:p>
        </w:tc>
        <w:tc>
          <w:tcPr>
            <w:tcW w:w="2216" w:type="dxa"/>
            <w:vMerge w:val="restart"/>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894" w:type="dxa"/>
            <w:vMerge w:val="restart"/>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119"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2216" w:type="dxa"/>
            <w:vMerge w:val="restart"/>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894" w:type="dxa"/>
            <w:vMerge w:val="restart"/>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119"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2216" w:type="dxa"/>
            <w:vMerge w:val="restart"/>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894" w:type="dxa"/>
            <w:vMerge w:val="restart"/>
            <w:noWrap w:val="0"/>
            <w:vAlign w:val="center"/>
          </w:tcPr>
          <w:p w14:paraId="0018FC0E">
            <w:pPr>
              <w:ind w:right="113"/>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2216" w:type="dxa"/>
            <w:noWrap w:val="0"/>
            <w:vAlign w:val="center"/>
          </w:tcPr>
          <w:p w14:paraId="1939BE8A">
            <w:pPr>
              <w:pStyle w:val="20"/>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20"/>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894" w:type="dxa"/>
            <w:noWrap w:val="0"/>
            <w:vAlign w:val="center"/>
          </w:tcPr>
          <w:p w14:paraId="7F2EA7E9">
            <w:pPr>
              <w:ind w:right="11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10分</w:t>
            </w:r>
          </w:p>
        </w:tc>
        <w:tc>
          <w:tcPr>
            <w:tcW w:w="4119"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9"/>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9"/>
        <w:adjustRightInd w:val="0"/>
        <w:snapToGrid w:val="0"/>
        <w:spacing w:line="360" w:lineRule="auto"/>
        <w:jc w:val="left"/>
        <w:textAlignment w:val="baseline"/>
        <w:rPr>
          <w:rFonts w:hint="eastAsia" w:hAnsi="宋体" w:eastAsia="宋体"/>
          <w:snapToGrid w:val="0"/>
          <w:color w:val="auto"/>
          <w:kern w:val="0"/>
          <w:sz w:val="24"/>
          <w:szCs w:val="24"/>
          <w:highlight w:val="yellow"/>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DF6A1FF">
      <w:pPr>
        <w:pStyle w:val="9"/>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因素细分项</w:t>
      </w:r>
      <w:r>
        <w:rPr>
          <w:rFonts w:hint="eastAsia" w:hAnsi="宋体"/>
          <w:snapToGrid w:val="0"/>
          <w:color w:val="auto"/>
          <w:kern w:val="0"/>
          <w:sz w:val="24"/>
          <w:szCs w:val="24"/>
          <w:highlight w:val="none"/>
        </w:rPr>
        <w:t>缺项则该项得0分。</w:t>
      </w:r>
    </w:p>
    <w:p w14:paraId="612620E6">
      <w:pPr>
        <w:rPr>
          <w:rFonts w:hint="eastAsia" w:ascii="宋体" w:hAnsi="宋体"/>
          <w:b/>
          <w:bCs/>
          <w:snapToGrid w:val="0"/>
          <w:color w:val="auto"/>
          <w:kern w:val="0"/>
          <w:sz w:val="24"/>
          <w:highlight w:val="none"/>
          <w:lang w:val="en-US" w:eastAsia="zh-CN"/>
        </w:rPr>
      </w:pPr>
      <w:r>
        <w:rPr>
          <w:rFonts w:hint="eastAsia" w:ascii="宋体" w:hAnsi="宋体"/>
          <w:b/>
          <w:bCs/>
          <w:snapToGrid w:val="0"/>
          <w:color w:val="auto"/>
          <w:kern w:val="0"/>
          <w:sz w:val="24"/>
          <w:highlight w:val="none"/>
          <w:lang w:val="en-US" w:eastAsia="zh-CN"/>
        </w:rPr>
        <w:br w:type="page"/>
      </w:r>
    </w:p>
    <w:p w14:paraId="5BC17DD1">
      <w:pPr>
        <w:pStyle w:val="3"/>
        <w:adjustRightInd w:val="0"/>
        <w:snapToGrid w:val="0"/>
        <w:spacing w:before="0" w:after="0" w:line="360" w:lineRule="auto"/>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、标段划分</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3522"/>
        <w:gridCol w:w="1897"/>
        <w:gridCol w:w="1882"/>
      </w:tblGrid>
      <w:tr w14:paraId="28D3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tcPr>
          <w:p w14:paraId="41714C07">
            <w:pPr>
              <w:pStyle w:val="3"/>
              <w:adjustRightInd w:val="0"/>
              <w:snapToGrid w:val="0"/>
              <w:spacing w:before="0" w:after="0" w:line="360" w:lineRule="auto"/>
              <w:jc w:val="center"/>
              <w:rPr>
                <w:rFonts w:hint="default" w:ascii="宋体" w:hAnsi="宋体"/>
                <w:b/>
                <w:bCs/>
                <w:snapToGrid w:val="0"/>
                <w:color w:val="auto"/>
                <w:kern w:val="0"/>
                <w:sz w:val="24"/>
                <w:highlight w:val="none"/>
                <w:vertAlign w:val="baseline"/>
                <w:lang w:val="en-US" w:eastAsia="zh-CN"/>
              </w:rPr>
            </w:pPr>
            <w:r>
              <w:rPr>
                <w:rFonts w:hint="eastAsia" w:ascii="宋体" w:hAnsi="宋体"/>
                <w:b/>
                <w:bCs/>
                <w:snapToGrid w:val="0"/>
                <w:color w:val="auto"/>
                <w:kern w:val="0"/>
                <w:sz w:val="24"/>
                <w:highlight w:val="none"/>
                <w:vertAlign w:val="baseline"/>
                <w:lang w:val="en-US" w:eastAsia="zh-CN"/>
              </w:rPr>
              <w:t>标段</w:t>
            </w:r>
          </w:p>
        </w:tc>
        <w:tc>
          <w:tcPr>
            <w:tcW w:w="3757" w:type="dxa"/>
          </w:tcPr>
          <w:p w14:paraId="2B28E626">
            <w:pPr>
              <w:pStyle w:val="3"/>
              <w:adjustRightInd w:val="0"/>
              <w:snapToGrid w:val="0"/>
              <w:spacing w:before="0" w:after="0" w:line="360" w:lineRule="auto"/>
              <w:jc w:val="center"/>
              <w:rPr>
                <w:rFonts w:hint="default" w:ascii="宋体" w:hAnsi="宋体"/>
                <w:b/>
                <w:bCs/>
                <w:snapToGrid w:val="0"/>
                <w:color w:val="auto"/>
                <w:kern w:val="0"/>
                <w:sz w:val="24"/>
                <w:highlight w:val="none"/>
                <w:vertAlign w:val="baseline"/>
                <w:lang w:val="en-US" w:eastAsia="zh-CN"/>
              </w:rPr>
            </w:pPr>
            <w:r>
              <w:rPr>
                <w:rFonts w:hint="eastAsia" w:ascii="宋体" w:hAnsi="宋体"/>
                <w:b/>
                <w:bCs/>
                <w:snapToGrid w:val="0"/>
                <w:color w:val="auto"/>
                <w:kern w:val="0"/>
                <w:sz w:val="24"/>
                <w:highlight w:val="none"/>
                <w:vertAlign w:val="baseline"/>
                <w:lang w:val="en-US" w:eastAsia="zh-CN"/>
              </w:rPr>
              <w:t>主要内容</w:t>
            </w:r>
          </w:p>
        </w:tc>
        <w:tc>
          <w:tcPr>
            <w:tcW w:w="1986" w:type="dxa"/>
          </w:tcPr>
          <w:p w14:paraId="3A0E569F">
            <w:pPr>
              <w:pStyle w:val="3"/>
              <w:adjustRightInd w:val="0"/>
              <w:snapToGrid w:val="0"/>
              <w:spacing w:before="0" w:after="0" w:line="360" w:lineRule="auto"/>
              <w:jc w:val="center"/>
              <w:rPr>
                <w:rFonts w:hint="default" w:ascii="宋体" w:hAnsi="宋体"/>
                <w:b/>
                <w:bCs/>
                <w:snapToGrid w:val="0"/>
                <w:color w:val="auto"/>
                <w:kern w:val="0"/>
                <w:sz w:val="24"/>
                <w:highlight w:val="none"/>
                <w:vertAlign w:val="baseline"/>
                <w:lang w:val="en-US" w:eastAsia="zh-CN"/>
              </w:rPr>
            </w:pPr>
            <w:r>
              <w:rPr>
                <w:rFonts w:hint="eastAsia" w:ascii="宋体" w:hAnsi="宋体"/>
                <w:b/>
                <w:bCs/>
                <w:snapToGrid w:val="0"/>
                <w:color w:val="auto"/>
                <w:kern w:val="0"/>
                <w:sz w:val="24"/>
                <w:highlight w:val="none"/>
                <w:vertAlign w:val="baseline"/>
                <w:lang w:val="en-US" w:eastAsia="zh-CN"/>
              </w:rPr>
              <w:t>设备名称</w:t>
            </w:r>
          </w:p>
        </w:tc>
        <w:tc>
          <w:tcPr>
            <w:tcW w:w="1986" w:type="dxa"/>
          </w:tcPr>
          <w:p w14:paraId="6D899B5F">
            <w:pPr>
              <w:pStyle w:val="3"/>
              <w:adjustRightInd w:val="0"/>
              <w:snapToGrid w:val="0"/>
              <w:spacing w:before="0" w:after="0" w:line="360" w:lineRule="auto"/>
              <w:jc w:val="center"/>
              <w:rPr>
                <w:rFonts w:hint="default" w:ascii="宋体" w:hAnsi="宋体"/>
                <w:b/>
                <w:bCs/>
                <w:strike/>
                <w:dstrike w:val="0"/>
                <w:snapToGrid w:val="0"/>
                <w:color w:val="auto"/>
                <w:kern w:val="0"/>
                <w:sz w:val="24"/>
                <w:highlight w:val="none"/>
                <w:vertAlign w:val="baseline"/>
                <w:lang w:val="en-US" w:eastAsia="zh-CN"/>
              </w:rPr>
            </w:pPr>
            <w:r>
              <w:rPr>
                <w:rFonts w:hint="eastAsia" w:ascii="宋体" w:hAnsi="宋体"/>
                <w:b/>
                <w:bCs/>
                <w:snapToGrid w:val="0"/>
                <w:color w:val="auto"/>
                <w:kern w:val="0"/>
                <w:sz w:val="24"/>
                <w:highlight w:val="none"/>
                <w:vertAlign w:val="baseline"/>
                <w:lang w:val="en-US" w:eastAsia="zh-CN"/>
              </w:rPr>
              <w:t>数量</w:t>
            </w:r>
          </w:p>
        </w:tc>
      </w:tr>
      <w:tr w14:paraId="3C90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restart"/>
          </w:tcPr>
          <w:p w14:paraId="7B0EE750">
            <w:pPr>
              <w:pStyle w:val="3"/>
              <w:adjustRightInd w:val="0"/>
              <w:snapToGrid w:val="0"/>
              <w:spacing w:before="0" w:after="0" w:line="360" w:lineRule="auto"/>
              <w:jc w:val="center"/>
              <w:rPr>
                <w:rFonts w:hint="default"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一标段</w:t>
            </w:r>
          </w:p>
        </w:tc>
        <w:tc>
          <w:tcPr>
            <w:tcW w:w="3757" w:type="dxa"/>
            <w:vMerge w:val="restart"/>
          </w:tcPr>
          <w:p w14:paraId="1CD7B01E">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道路可变信息标志</w:t>
            </w:r>
          </w:p>
        </w:tc>
        <w:tc>
          <w:tcPr>
            <w:tcW w:w="1986" w:type="dxa"/>
          </w:tcPr>
          <w:p w14:paraId="5E0992C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告知组合屏</w:t>
            </w:r>
          </w:p>
        </w:tc>
        <w:tc>
          <w:tcPr>
            <w:tcW w:w="1986" w:type="dxa"/>
          </w:tcPr>
          <w:p w14:paraId="6E84F883">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6套</w:t>
            </w:r>
          </w:p>
        </w:tc>
      </w:tr>
      <w:tr w14:paraId="29B3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4DDD73A2">
            <w:pPr>
              <w:pStyle w:val="3"/>
              <w:adjustRightInd w:val="0"/>
              <w:snapToGrid w:val="0"/>
              <w:spacing w:before="0" w:after="0" w:line="360" w:lineRule="auto"/>
              <w:jc w:val="center"/>
            </w:pPr>
          </w:p>
        </w:tc>
        <w:tc>
          <w:tcPr>
            <w:tcW w:w="3757" w:type="dxa"/>
            <w:vMerge w:val="continue"/>
          </w:tcPr>
          <w:p w14:paraId="66AEF184">
            <w:pPr>
              <w:pStyle w:val="3"/>
              <w:adjustRightInd w:val="0"/>
              <w:snapToGrid w:val="0"/>
              <w:spacing w:before="0" w:after="0" w:line="360" w:lineRule="auto"/>
              <w:jc w:val="center"/>
            </w:pPr>
          </w:p>
        </w:tc>
        <w:tc>
          <w:tcPr>
            <w:tcW w:w="1986" w:type="dxa"/>
          </w:tcPr>
          <w:p w14:paraId="0A3E3A47">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门架式可变信息标志</w:t>
            </w:r>
          </w:p>
        </w:tc>
        <w:tc>
          <w:tcPr>
            <w:tcW w:w="1986" w:type="dxa"/>
          </w:tcPr>
          <w:p w14:paraId="4349AE6A">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20套</w:t>
            </w:r>
          </w:p>
        </w:tc>
      </w:tr>
      <w:tr w14:paraId="7E6E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64B14996">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6C46F502">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7CC5361">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可变限速标志</w:t>
            </w:r>
          </w:p>
        </w:tc>
        <w:tc>
          <w:tcPr>
            <w:tcW w:w="1986" w:type="dxa"/>
          </w:tcPr>
          <w:p w14:paraId="7506783B">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42套</w:t>
            </w:r>
          </w:p>
        </w:tc>
      </w:tr>
      <w:tr w14:paraId="3DB4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50A3E94C">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3087412A">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5905A67D">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悬臂式可变信息标志</w:t>
            </w:r>
          </w:p>
        </w:tc>
        <w:tc>
          <w:tcPr>
            <w:tcW w:w="1986" w:type="dxa"/>
          </w:tcPr>
          <w:p w14:paraId="5CA43670">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4</w:t>
            </w:r>
            <w:r>
              <w:rPr>
                <w:rFonts w:hint="eastAsia" w:ascii="Times New Roman" w:hAnsi="Times New Roman" w:eastAsia="宋体" w:cs="Times New Roman"/>
              </w:rPr>
              <w:t>套</w:t>
            </w:r>
          </w:p>
        </w:tc>
      </w:tr>
      <w:tr w14:paraId="300C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49BB3851">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325D532A">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06479472">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可变限速限距屏</w:t>
            </w:r>
          </w:p>
        </w:tc>
        <w:tc>
          <w:tcPr>
            <w:tcW w:w="1986" w:type="dxa"/>
          </w:tcPr>
          <w:p w14:paraId="5CED5FD5">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6</w:t>
            </w:r>
            <w:r>
              <w:rPr>
                <w:rFonts w:hint="eastAsia" w:ascii="Times New Roman" w:hAnsi="Times New Roman" w:eastAsia="宋体" w:cs="Times New Roman"/>
              </w:rPr>
              <w:t>套</w:t>
            </w:r>
          </w:p>
        </w:tc>
      </w:tr>
      <w:tr w14:paraId="329E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3821F87A">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27B47298">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15A66CC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门架式车道指示灯</w:t>
            </w:r>
          </w:p>
        </w:tc>
        <w:tc>
          <w:tcPr>
            <w:tcW w:w="1986" w:type="dxa"/>
          </w:tcPr>
          <w:p w14:paraId="4DBD4007">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42</w:t>
            </w:r>
            <w:r>
              <w:rPr>
                <w:rFonts w:hint="eastAsia" w:ascii="Times New Roman" w:hAnsi="Times New Roman" w:eastAsia="宋体" w:cs="Times New Roman"/>
              </w:rPr>
              <w:t>套</w:t>
            </w:r>
          </w:p>
        </w:tc>
      </w:tr>
      <w:tr w14:paraId="0D7A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700AFA98">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6B4EAD08">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6539EE44">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单柱式可变信息标志</w:t>
            </w:r>
          </w:p>
        </w:tc>
        <w:tc>
          <w:tcPr>
            <w:tcW w:w="1986" w:type="dxa"/>
          </w:tcPr>
          <w:p w14:paraId="1D37BB05">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6</w:t>
            </w:r>
            <w:r>
              <w:rPr>
                <w:rFonts w:hint="eastAsia" w:ascii="Times New Roman" w:hAnsi="Times New Roman" w:eastAsia="宋体" w:cs="Times New Roman"/>
              </w:rPr>
              <w:t>套</w:t>
            </w:r>
          </w:p>
        </w:tc>
      </w:tr>
      <w:tr w14:paraId="14F8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2C665976">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7C1B6F81">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2D7E179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可变信息标志加密服务器</w:t>
            </w:r>
          </w:p>
        </w:tc>
        <w:tc>
          <w:tcPr>
            <w:tcW w:w="1986" w:type="dxa"/>
          </w:tcPr>
          <w:p w14:paraId="6269311A">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1</w:t>
            </w:r>
            <w:r>
              <w:rPr>
                <w:rFonts w:hint="eastAsia" w:ascii="Times New Roman" w:hAnsi="Times New Roman" w:eastAsia="宋体" w:cs="Times New Roman"/>
              </w:rPr>
              <w:t>套</w:t>
            </w:r>
          </w:p>
        </w:tc>
      </w:tr>
      <w:tr w14:paraId="20E8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85" w:type="dxa"/>
            <w:vMerge w:val="restart"/>
          </w:tcPr>
          <w:p w14:paraId="4B3D3D8D">
            <w:pPr>
              <w:pStyle w:val="3"/>
              <w:adjustRightInd w:val="0"/>
              <w:snapToGrid w:val="0"/>
              <w:spacing w:before="0" w:after="0" w:line="360" w:lineRule="auto"/>
              <w:jc w:val="center"/>
              <w:rPr>
                <w:rFonts w:hint="default"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二标段</w:t>
            </w:r>
          </w:p>
        </w:tc>
        <w:tc>
          <w:tcPr>
            <w:tcW w:w="3757" w:type="dxa"/>
            <w:vMerge w:val="restart"/>
          </w:tcPr>
          <w:p w14:paraId="3E1A23FA">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升、降压设备</w:t>
            </w:r>
          </w:p>
        </w:tc>
        <w:tc>
          <w:tcPr>
            <w:tcW w:w="1986" w:type="dxa"/>
          </w:tcPr>
          <w:p w14:paraId="151D175E">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电源发生器</w:t>
            </w:r>
          </w:p>
        </w:tc>
        <w:tc>
          <w:tcPr>
            <w:tcW w:w="1986" w:type="dxa"/>
          </w:tcPr>
          <w:p w14:paraId="576426FC">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5套</w:t>
            </w:r>
          </w:p>
        </w:tc>
      </w:tr>
      <w:tr w14:paraId="216D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85" w:type="dxa"/>
            <w:vMerge w:val="continue"/>
          </w:tcPr>
          <w:p w14:paraId="6FE3F1C7">
            <w:pPr>
              <w:pStyle w:val="3"/>
              <w:adjustRightInd w:val="0"/>
              <w:snapToGrid w:val="0"/>
              <w:spacing w:before="0" w:after="0" w:line="360" w:lineRule="auto"/>
              <w:jc w:val="both"/>
            </w:pPr>
          </w:p>
        </w:tc>
        <w:tc>
          <w:tcPr>
            <w:tcW w:w="3757" w:type="dxa"/>
            <w:vMerge w:val="continue"/>
          </w:tcPr>
          <w:p w14:paraId="64B7AB3D">
            <w:pPr>
              <w:pStyle w:val="3"/>
              <w:adjustRightInd w:val="0"/>
              <w:snapToGrid w:val="0"/>
              <w:spacing w:before="0" w:after="0" w:line="360" w:lineRule="auto"/>
              <w:jc w:val="both"/>
            </w:pPr>
          </w:p>
        </w:tc>
        <w:tc>
          <w:tcPr>
            <w:tcW w:w="1986" w:type="dxa"/>
          </w:tcPr>
          <w:p w14:paraId="3A176BBB">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隔离变换器</w:t>
            </w:r>
          </w:p>
        </w:tc>
        <w:tc>
          <w:tcPr>
            <w:tcW w:w="1986" w:type="dxa"/>
          </w:tcPr>
          <w:p w14:paraId="678A6049">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103套</w:t>
            </w:r>
          </w:p>
        </w:tc>
      </w:tr>
      <w:tr w14:paraId="4FDA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restart"/>
          </w:tcPr>
          <w:p w14:paraId="324920B2">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p w14:paraId="515AA95B">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p w14:paraId="2107D42D">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三标段</w:t>
            </w:r>
          </w:p>
        </w:tc>
        <w:tc>
          <w:tcPr>
            <w:tcW w:w="3757" w:type="dxa"/>
            <w:vMerge w:val="restart"/>
          </w:tcPr>
          <w:p w14:paraId="6A276C19">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p w14:paraId="7DFF99ED">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p w14:paraId="39243480">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隧道北斗应用设备</w:t>
            </w:r>
          </w:p>
        </w:tc>
        <w:tc>
          <w:tcPr>
            <w:tcW w:w="1986" w:type="dxa"/>
          </w:tcPr>
          <w:p w14:paraId="55FA2E8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一体化管理单元</w:t>
            </w:r>
          </w:p>
        </w:tc>
        <w:tc>
          <w:tcPr>
            <w:tcW w:w="1986" w:type="dxa"/>
          </w:tcPr>
          <w:p w14:paraId="748BF30F">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10套</w:t>
            </w:r>
          </w:p>
        </w:tc>
      </w:tr>
      <w:tr w14:paraId="0547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054F009F">
            <w:pPr>
              <w:pStyle w:val="3"/>
              <w:adjustRightInd w:val="0"/>
              <w:snapToGrid w:val="0"/>
              <w:spacing w:before="0" w:after="0" w:line="360" w:lineRule="auto"/>
              <w:jc w:val="both"/>
            </w:pPr>
          </w:p>
        </w:tc>
        <w:tc>
          <w:tcPr>
            <w:tcW w:w="3757" w:type="dxa"/>
            <w:vMerge w:val="continue"/>
          </w:tcPr>
          <w:p w14:paraId="58EF29CD">
            <w:pPr>
              <w:pStyle w:val="3"/>
              <w:adjustRightInd w:val="0"/>
              <w:snapToGrid w:val="0"/>
              <w:spacing w:before="0" w:after="0" w:line="360" w:lineRule="auto"/>
              <w:jc w:val="both"/>
            </w:pPr>
          </w:p>
        </w:tc>
        <w:tc>
          <w:tcPr>
            <w:tcW w:w="1986" w:type="dxa"/>
          </w:tcPr>
          <w:p w14:paraId="40BC4181">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隧道北斗基站</w:t>
            </w:r>
          </w:p>
        </w:tc>
        <w:tc>
          <w:tcPr>
            <w:tcW w:w="1986" w:type="dxa"/>
          </w:tcPr>
          <w:p w14:paraId="68E3E2AC">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917台</w:t>
            </w:r>
          </w:p>
        </w:tc>
      </w:tr>
      <w:tr w14:paraId="092A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3E8F6EE3">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2CC081A6">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54F4D2D">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隧道北斗天线</w:t>
            </w:r>
          </w:p>
        </w:tc>
        <w:tc>
          <w:tcPr>
            <w:tcW w:w="1986" w:type="dxa"/>
          </w:tcPr>
          <w:p w14:paraId="348ED1DA">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3668套</w:t>
            </w:r>
          </w:p>
        </w:tc>
      </w:tr>
      <w:tr w14:paraId="0B0D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034A6D91">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1396F72">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048B8F9D">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隧道北斗运行管理平台</w:t>
            </w:r>
          </w:p>
        </w:tc>
        <w:tc>
          <w:tcPr>
            <w:tcW w:w="1986" w:type="dxa"/>
          </w:tcPr>
          <w:p w14:paraId="0587F50A">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1项</w:t>
            </w:r>
          </w:p>
        </w:tc>
      </w:tr>
      <w:tr w14:paraId="4C35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85" w:type="dxa"/>
            <w:vMerge w:val="restart"/>
          </w:tcPr>
          <w:p w14:paraId="7B1C0E34">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四标段</w:t>
            </w:r>
          </w:p>
        </w:tc>
        <w:tc>
          <w:tcPr>
            <w:tcW w:w="3757" w:type="dxa"/>
            <w:vMerge w:val="restart"/>
          </w:tcPr>
          <w:p w14:paraId="3CE6E7C2">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电机智能传感器及蓝牙网关</w:t>
            </w:r>
          </w:p>
        </w:tc>
        <w:tc>
          <w:tcPr>
            <w:tcW w:w="1986" w:type="dxa"/>
          </w:tcPr>
          <w:p w14:paraId="599C9CFB">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电机智能传感器</w:t>
            </w:r>
          </w:p>
        </w:tc>
        <w:tc>
          <w:tcPr>
            <w:tcW w:w="1986" w:type="dxa"/>
          </w:tcPr>
          <w:p w14:paraId="135F0CC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744套</w:t>
            </w:r>
          </w:p>
        </w:tc>
      </w:tr>
      <w:tr w14:paraId="7123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85" w:type="dxa"/>
            <w:vMerge w:val="continue"/>
          </w:tcPr>
          <w:p w14:paraId="47B744E2">
            <w:pPr>
              <w:pStyle w:val="3"/>
              <w:adjustRightInd w:val="0"/>
              <w:snapToGrid w:val="0"/>
              <w:spacing w:before="0" w:after="0" w:line="360" w:lineRule="auto"/>
              <w:jc w:val="both"/>
            </w:pPr>
          </w:p>
        </w:tc>
        <w:tc>
          <w:tcPr>
            <w:tcW w:w="3757" w:type="dxa"/>
            <w:vMerge w:val="continue"/>
          </w:tcPr>
          <w:p w14:paraId="4DFEC8E5">
            <w:pPr>
              <w:pStyle w:val="3"/>
              <w:adjustRightInd w:val="0"/>
              <w:snapToGrid w:val="0"/>
              <w:spacing w:before="0" w:after="0" w:line="360" w:lineRule="auto"/>
              <w:jc w:val="both"/>
            </w:pPr>
          </w:p>
        </w:tc>
        <w:tc>
          <w:tcPr>
            <w:tcW w:w="1986" w:type="dxa"/>
          </w:tcPr>
          <w:p w14:paraId="7293A4F7">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蓝牙网关</w:t>
            </w:r>
          </w:p>
        </w:tc>
        <w:tc>
          <w:tcPr>
            <w:tcW w:w="1986" w:type="dxa"/>
          </w:tcPr>
          <w:p w14:paraId="2806F799">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344套</w:t>
            </w:r>
          </w:p>
        </w:tc>
      </w:tr>
      <w:tr w14:paraId="3F65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restart"/>
          </w:tcPr>
          <w:p w14:paraId="05700924">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五标段</w:t>
            </w:r>
          </w:p>
        </w:tc>
        <w:tc>
          <w:tcPr>
            <w:tcW w:w="3757" w:type="dxa"/>
            <w:vMerge w:val="restart"/>
          </w:tcPr>
          <w:p w14:paraId="25CAE8B1">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高清摄像机及存储设备</w:t>
            </w:r>
          </w:p>
        </w:tc>
        <w:tc>
          <w:tcPr>
            <w:tcW w:w="1986" w:type="dxa"/>
          </w:tcPr>
          <w:p w14:paraId="3D96979F">
            <w:pPr>
              <w:adjustRightInd w:val="0"/>
              <w:snapToGrid w:val="0"/>
              <w:spacing w:before="0" w:after="0" w:line="360" w:lineRule="auto"/>
              <w:jc w:val="center"/>
              <w:rPr>
                <w:rFonts w:hint="eastAsia" w:ascii="Times New Roman" w:hAnsi="Times New Roman" w:eastAsia="宋体" w:cs="Times New Roman"/>
              </w:rPr>
            </w:pPr>
            <w:r>
              <w:rPr>
                <w:rFonts w:hint="eastAsia" w:ascii="Times New Roman" w:hAnsi="Times New Roman" w:eastAsia="宋体" w:cs="Times New Roman"/>
                <w:lang w:val="en-US" w:eastAsia="zh-CN"/>
              </w:rPr>
              <w:t>短距高清摄像机</w:t>
            </w:r>
          </w:p>
          <w:p w14:paraId="3727C97B">
            <w:pPr>
              <w:adjustRightInd w:val="0"/>
              <w:snapToGrid w:val="0"/>
              <w:spacing w:before="0" w:after="0" w:line="360" w:lineRule="auto"/>
              <w:jc w:val="center"/>
              <w:rPr>
                <w:rFonts w:hint="eastAsia" w:ascii="Times New Roman" w:hAnsi="Times New Roman" w:eastAsia="宋体" w:cs="Times New Roman"/>
                <w:lang w:val="en-US" w:eastAsia="zh-CN"/>
              </w:rPr>
            </w:pPr>
          </w:p>
        </w:tc>
        <w:tc>
          <w:tcPr>
            <w:tcW w:w="1986" w:type="dxa"/>
          </w:tcPr>
          <w:p w14:paraId="5939B35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9</w:t>
            </w:r>
            <w:r>
              <w:rPr>
                <w:rFonts w:hint="eastAsia" w:ascii="Times New Roman" w:hAnsi="Times New Roman" w:eastAsia="宋体" w:cs="Times New Roman"/>
                <w:lang w:val="en-US" w:eastAsia="zh-CN"/>
              </w:rPr>
              <w:t>套</w:t>
            </w:r>
          </w:p>
        </w:tc>
      </w:tr>
      <w:tr w14:paraId="46FD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continue"/>
          </w:tcPr>
          <w:p w14:paraId="3B77D9B8">
            <w:pPr>
              <w:pStyle w:val="3"/>
              <w:adjustRightInd w:val="0"/>
              <w:snapToGrid w:val="0"/>
              <w:spacing w:before="0" w:after="0" w:line="360" w:lineRule="auto"/>
              <w:jc w:val="both"/>
            </w:pPr>
          </w:p>
        </w:tc>
        <w:tc>
          <w:tcPr>
            <w:tcW w:w="3757" w:type="dxa"/>
            <w:vMerge w:val="continue"/>
          </w:tcPr>
          <w:p w14:paraId="518E8A0E">
            <w:pPr>
              <w:pStyle w:val="3"/>
              <w:adjustRightInd w:val="0"/>
              <w:snapToGrid w:val="0"/>
              <w:spacing w:before="0" w:after="0" w:line="360" w:lineRule="auto"/>
              <w:jc w:val="both"/>
            </w:pPr>
          </w:p>
        </w:tc>
        <w:tc>
          <w:tcPr>
            <w:tcW w:w="1986" w:type="dxa"/>
          </w:tcPr>
          <w:p w14:paraId="167E93F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智能高清网络枪式固定摄像机</w:t>
            </w:r>
          </w:p>
        </w:tc>
        <w:tc>
          <w:tcPr>
            <w:tcW w:w="1986" w:type="dxa"/>
          </w:tcPr>
          <w:p w14:paraId="5E59088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32套</w:t>
            </w:r>
          </w:p>
        </w:tc>
      </w:tr>
      <w:tr w14:paraId="05A7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continue"/>
          </w:tcPr>
          <w:p w14:paraId="69944B1C">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5088FE9">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1F13BE1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智能高清网络枪式云台摄像机</w:t>
            </w:r>
          </w:p>
        </w:tc>
        <w:tc>
          <w:tcPr>
            <w:tcW w:w="1986" w:type="dxa"/>
          </w:tcPr>
          <w:p w14:paraId="4EE1ADF1">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3套</w:t>
            </w:r>
          </w:p>
        </w:tc>
      </w:tr>
      <w:tr w14:paraId="0C32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continue"/>
          </w:tcPr>
          <w:p w14:paraId="4687CBC2">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7FB35B9D">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5A739055">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三镜头抓拍摄像机</w:t>
            </w:r>
          </w:p>
        </w:tc>
        <w:tc>
          <w:tcPr>
            <w:tcW w:w="1986" w:type="dxa"/>
          </w:tcPr>
          <w:p w14:paraId="69EC8E8F">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143套</w:t>
            </w:r>
          </w:p>
        </w:tc>
      </w:tr>
      <w:tr w14:paraId="0CDD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continue"/>
          </w:tcPr>
          <w:p w14:paraId="0FF6971D">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3AB5B52A">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E356A16">
            <w:pPr>
              <w:adjustRightInd w:val="0"/>
              <w:snapToGrid w:val="0"/>
              <w:spacing w:before="0" w:after="0" w:line="360" w:lineRule="auto"/>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 xml:space="preserve">IPSAN </w:t>
            </w:r>
            <w:r>
              <w:rPr>
                <w:rFonts w:hint="eastAsia" w:ascii="Times New Roman" w:hAnsi="Times New Roman" w:eastAsia="宋体" w:cs="Times New Roman"/>
                <w:lang w:val="en-US" w:eastAsia="zh-CN"/>
              </w:rPr>
              <w:t>磁盘存储阵列主机</w:t>
            </w:r>
          </w:p>
        </w:tc>
        <w:tc>
          <w:tcPr>
            <w:tcW w:w="1986" w:type="dxa"/>
          </w:tcPr>
          <w:p w14:paraId="6C1FC109">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2套</w:t>
            </w:r>
          </w:p>
        </w:tc>
      </w:tr>
      <w:tr w14:paraId="371F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restart"/>
          </w:tcPr>
          <w:p w14:paraId="473D1DE5">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六标段</w:t>
            </w:r>
          </w:p>
        </w:tc>
        <w:tc>
          <w:tcPr>
            <w:tcW w:w="3757" w:type="dxa"/>
            <w:vMerge w:val="restart"/>
          </w:tcPr>
          <w:p w14:paraId="6A40FED7">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收费站称重系统设备</w:t>
            </w:r>
          </w:p>
        </w:tc>
        <w:tc>
          <w:tcPr>
            <w:tcW w:w="1986" w:type="dxa"/>
            <w:vAlign w:val="top"/>
          </w:tcPr>
          <w:p w14:paraId="410E28DC">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rPr>
              <w:t>连续整车式动态称重系统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超宽）</w:t>
            </w:r>
          </w:p>
        </w:tc>
        <w:tc>
          <w:tcPr>
            <w:tcW w:w="1986" w:type="dxa"/>
          </w:tcPr>
          <w:p w14:paraId="0414F52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49套</w:t>
            </w:r>
          </w:p>
        </w:tc>
      </w:tr>
      <w:tr w14:paraId="5527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4B1E743C">
            <w:pPr>
              <w:pStyle w:val="3"/>
              <w:adjustRightInd w:val="0"/>
              <w:snapToGrid w:val="0"/>
              <w:spacing w:before="0" w:after="0" w:line="360" w:lineRule="auto"/>
              <w:jc w:val="both"/>
            </w:pPr>
          </w:p>
        </w:tc>
        <w:tc>
          <w:tcPr>
            <w:tcW w:w="3757" w:type="dxa"/>
            <w:vMerge w:val="continue"/>
          </w:tcPr>
          <w:p w14:paraId="25A839DE">
            <w:pPr>
              <w:pStyle w:val="3"/>
              <w:adjustRightInd w:val="0"/>
              <w:snapToGrid w:val="0"/>
              <w:spacing w:before="0" w:after="0" w:line="360" w:lineRule="auto"/>
              <w:jc w:val="both"/>
            </w:pPr>
          </w:p>
        </w:tc>
        <w:tc>
          <w:tcPr>
            <w:tcW w:w="1986" w:type="dxa"/>
            <w:shd w:val="clear" w:color="auto" w:fill="auto"/>
            <w:vAlign w:val="top"/>
          </w:tcPr>
          <w:p w14:paraId="0CB441EE">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连续整车式动态称重系统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普通）</w:t>
            </w:r>
          </w:p>
        </w:tc>
        <w:tc>
          <w:tcPr>
            <w:tcW w:w="1986" w:type="dxa"/>
          </w:tcPr>
          <w:p w14:paraId="68D218E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39套</w:t>
            </w:r>
          </w:p>
        </w:tc>
      </w:tr>
      <w:tr w14:paraId="77B6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3678E1AE">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15E712EF">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15DA5E5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双称台称重系统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超宽）</w:t>
            </w:r>
          </w:p>
        </w:tc>
        <w:tc>
          <w:tcPr>
            <w:tcW w:w="1986" w:type="dxa"/>
          </w:tcPr>
          <w:p w14:paraId="75EA79B9">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25套</w:t>
            </w:r>
          </w:p>
        </w:tc>
      </w:tr>
      <w:tr w14:paraId="097B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342B773C">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4A172D41">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shd w:val="clear" w:color="auto" w:fill="auto"/>
            <w:vAlign w:val="top"/>
          </w:tcPr>
          <w:p w14:paraId="37ABFFD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连续整车式动态称重系统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普通）</w:t>
            </w:r>
          </w:p>
        </w:tc>
        <w:tc>
          <w:tcPr>
            <w:tcW w:w="1986" w:type="dxa"/>
          </w:tcPr>
          <w:p w14:paraId="0E8A44C2">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26套</w:t>
            </w:r>
          </w:p>
        </w:tc>
      </w:tr>
      <w:tr w14:paraId="79A3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restart"/>
          </w:tcPr>
          <w:p w14:paraId="117332CB">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七标段</w:t>
            </w:r>
          </w:p>
        </w:tc>
        <w:tc>
          <w:tcPr>
            <w:tcW w:w="3757" w:type="dxa"/>
            <w:vMerge w:val="restart"/>
          </w:tcPr>
          <w:p w14:paraId="543C8D02">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横洞设备总控及相关路线诱导系统设备</w:t>
            </w:r>
          </w:p>
        </w:tc>
        <w:tc>
          <w:tcPr>
            <w:tcW w:w="1986" w:type="dxa"/>
          </w:tcPr>
          <w:p w14:paraId="4582D09A">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横洞设备总控制器</w:t>
            </w:r>
          </w:p>
        </w:tc>
        <w:tc>
          <w:tcPr>
            <w:tcW w:w="1986" w:type="dxa"/>
          </w:tcPr>
          <w:p w14:paraId="6EACF00D">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152套</w:t>
            </w:r>
          </w:p>
        </w:tc>
      </w:tr>
      <w:tr w14:paraId="19A9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5B0C3467">
            <w:pPr>
              <w:pStyle w:val="3"/>
              <w:adjustRightInd w:val="0"/>
              <w:snapToGrid w:val="0"/>
              <w:spacing w:before="0" w:after="0" w:line="360" w:lineRule="auto"/>
              <w:jc w:val="both"/>
            </w:pPr>
          </w:p>
        </w:tc>
        <w:tc>
          <w:tcPr>
            <w:tcW w:w="3757" w:type="dxa"/>
            <w:vMerge w:val="continue"/>
          </w:tcPr>
          <w:p w14:paraId="080336E2">
            <w:pPr>
              <w:pStyle w:val="3"/>
              <w:adjustRightInd w:val="0"/>
              <w:snapToGrid w:val="0"/>
              <w:spacing w:before="0" w:after="0" w:line="360" w:lineRule="auto"/>
              <w:jc w:val="both"/>
            </w:pPr>
          </w:p>
        </w:tc>
        <w:tc>
          <w:tcPr>
            <w:tcW w:w="1986" w:type="dxa"/>
          </w:tcPr>
          <w:p w14:paraId="12D6296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智慧疏散指示标志</w:t>
            </w:r>
          </w:p>
        </w:tc>
        <w:tc>
          <w:tcPr>
            <w:tcW w:w="1986" w:type="dxa"/>
          </w:tcPr>
          <w:p w14:paraId="350B90E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1520套</w:t>
            </w:r>
          </w:p>
        </w:tc>
      </w:tr>
      <w:tr w14:paraId="1DB8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7873E12D">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F3870C9">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01BF542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路线诱导装置:</w:t>
            </w:r>
          </w:p>
        </w:tc>
        <w:tc>
          <w:tcPr>
            <w:tcW w:w="1986" w:type="dxa"/>
          </w:tcPr>
          <w:p w14:paraId="684F28C2">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4785套</w:t>
            </w:r>
          </w:p>
        </w:tc>
      </w:tr>
      <w:tr w14:paraId="35E9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38FAE9CD">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2243EAA">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B66CBA5">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路线诱导装置(含能见度检测模块)</w:t>
            </w:r>
          </w:p>
        </w:tc>
        <w:tc>
          <w:tcPr>
            <w:tcW w:w="1986" w:type="dxa"/>
          </w:tcPr>
          <w:p w14:paraId="3916DFF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505套</w:t>
            </w:r>
          </w:p>
        </w:tc>
      </w:tr>
      <w:tr w14:paraId="682E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2E7CBF0E">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2105382C">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2BC0E00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路线诱导装置控制器</w:t>
            </w:r>
          </w:p>
        </w:tc>
        <w:tc>
          <w:tcPr>
            <w:tcW w:w="1986" w:type="dxa"/>
          </w:tcPr>
          <w:p w14:paraId="479EBE40">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13套</w:t>
            </w:r>
          </w:p>
        </w:tc>
      </w:tr>
      <w:tr w14:paraId="60DB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29E4463B">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379240E">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A59CE8B">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现场控制主机</w:t>
            </w:r>
          </w:p>
        </w:tc>
        <w:tc>
          <w:tcPr>
            <w:tcW w:w="1986" w:type="dxa"/>
          </w:tcPr>
          <w:p w14:paraId="4A9C949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12套</w:t>
            </w:r>
          </w:p>
        </w:tc>
      </w:tr>
    </w:tbl>
    <w:p w14:paraId="1C2563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37CE24"/>
    <w:multiLevelType w:val="singleLevel"/>
    <w:tmpl w:val="B537CE24"/>
    <w:lvl w:ilvl="0" w:tentative="0">
      <w:start w:val="1"/>
      <w:numFmt w:val="decimal"/>
      <w:pStyle w:val="10"/>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3C4DD1"/>
    <w:rsid w:val="152919BC"/>
    <w:rsid w:val="169E155A"/>
    <w:rsid w:val="2A3C4DD1"/>
    <w:rsid w:val="2EE27C82"/>
    <w:rsid w:val="7BCD2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9"/>
    <w:pPr>
      <w:keepNext/>
      <w:keepLines/>
      <w:spacing w:before="260" w:after="260" w:line="416" w:lineRule="auto"/>
      <w:jc w:val="center"/>
      <w:outlineLvl w:val="1"/>
    </w:pPr>
    <w:rPr>
      <w:rFonts w:ascii="Cambria" w:hAnsi="Cambria"/>
      <w:b/>
      <w:bCs/>
      <w:sz w:val="32"/>
      <w:szCs w:val="32"/>
    </w:rPr>
  </w:style>
  <w:style w:type="paragraph" w:styleId="4">
    <w:name w:val="heading 3"/>
    <w:basedOn w:val="1"/>
    <w:next w:val="1"/>
    <w:qFormat/>
    <w:uiPriority w:val="9"/>
    <w:pPr>
      <w:keepNext/>
      <w:keepLines/>
      <w:spacing w:before="50" w:beforeLines="50" w:line="415" w:lineRule="auto"/>
      <w:outlineLvl w:val="2"/>
    </w:pPr>
    <w:rPr>
      <w:b/>
      <w:bCs/>
      <w:sz w:val="32"/>
      <w:szCs w:val="32"/>
    </w:rPr>
  </w:style>
  <w:style w:type="paragraph" w:styleId="5">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4">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kern w:val="2"/>
      <w:sz w:val="20"/>
    </w:rPr>
  </w:style>
  <w:style w:type="paragraph" w:styleId="6">
    <w:name w:val="toa heading"/>
    <w:basedOn w:val="1"/>
    <w:next w:val="1"/>
    <w:unhideWhenUsed/>
    <w:qFormat/>
    <w:uiPriority w:val="99"/>
    <w:pPr>
      <w:spacing w:before="120"/>
      <w:ind w:firstLine="560" w:firstLineChars="200"/>
    </w:pPr>
    <w:rPr>
      <w:rFonts w:ascii="Cambria" w:hAnsi="Cambria"/>
      <w:szCs w:val="24"/>
    </w:rPr>
  </w:style>
  <w:style w:type="paragraph" w:styleId="7">
    <w:name w:val="Body Text"/>
    <w:basedOn w:val="1"/>
    <w:qFormat/>
    <w:uiPriority w:val="1"/>
    <w:pPr>
      <w:ind w:left="100"/>
      <w:jc w:val="left"/>
    </w:pPr>
    <w:rPr>
      <w:rFonts w:ascii="宋体" w:hAnsi="宋体" w:cs="Times New Roman"/>
      <w:kern w:val="0"/>
      <w:szCs w:val="21"/>
      <w:lang w:eastAsia="en-US"/>
    </w:rPr>
  </w:style>
  <w:style w:type="paragraph" w:styleId="8">
    <w:name w:val="Body Text Indent"/>
    <w:basedOn w:val="1"/>
    <w:unhideWhenUsed/>
    <w:qFormat/>
    <w:uiPriority w:val="99"/>
    <w:pPr>
      <w:spacing w:after="120"/>
      <w:ind w:left="420" w:leftChars="200"/>
    </w:pPr>
  </w:style>
  <w:style w:type="paragraph" w:styleId="9">
    <w:name w:val="Plain Text"/>
    <w:basedOn w:val="1"/>
    <w:next w:val="10"/>
    <w:qFormat/>
    <w:uiPriority w:val="0"/>
    <w:rPr>
      <w:rFonts w:ascii="宋体" w:hAnsi="Courier New"/>
      <w:szCs w:val="20"/>
    </w:rPr>
  </w:style>
  <w:style w:type="paragraph" w:styleId="10">
    <w:name w:val="List Number 5"/>
    <w:basedOn w:val="1"/>
    <w:uiPriority w:val="0"/>
    <w:pPr>
      <w:numPr>
        <w:ilvl w:val="0"/>
        <w:numId w:val="1"/>
      </w:numPr>
    </w:pPr>
  </w:style>
  <w:style w:type="paragraph" w:styleId="11">
    <w:name w:val="Body Text First Indent 2"/>
    <w:basedOn w:val="8"/>
    <w:unhideWhenUsed/>
    <w:qFormat/>
    <w:uiPriority w:val="99"/>
    <w:pPr>
      <w:tabs>
        <w:tab w:val="left" w:pos="5580"/>
      </w:tabs>
      <w:ind w:left="420" w:leftChars="200" w:firstLine="420"/>
    </w:pPr>
    <w:rPr>
      <w:rFonts w:ascii="Times New Roman" w:hAnsi="Times New Roman"/>
      <w:sz w:val="21"/>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1正文"/>
    <w:basedOn w:val="1"/>
    <w:autoRedefine/>
    <w:qFormat/>
    <w:uiPriority w:val="0"/>
    <w:pPr>
      <w:ind w:firstLine="480"/>
    </w:pPr>
    <w:rPr>
      <w:rFonts w:cs="宋体"/>
      <w:szCs w:val="24"/>
    </w:rPr>
  </w:style>
  <w:style w:type="paragraph" w:customStyle="1" w:styleId="16">
    <w:name w:val="大标题"/>
    <w:basedOn w:val="1"/>
    <w:next w:val="11"/>
    <w:autoRedefine/>
    <w:qFormat/>
    <w:uiPriority w:val="0"/>
    <w:pPr>
      <w:jc w:val="center"/>
    </w:pPr>
    <w:rPr>
      <w:rFonts w:ascii="Arial" w:hAnsi="Arial"/>
      <w:b/>
      <w:sz w:val="28"/>
    </w:rPr>
  </w:style>
  <w:style w:type="character" w:customStyle="1" w:styleId="17">
    <w:name w:val="NormalCharacter"/>
    <w:link w:val="18"/>
    <w:autoRedefine/>
    <w:qFormat/>
    <w:uiPriority w:val="0"/>
    <w:rPr>
      <w:kern w:val="0"/>
      <w:sz w:val="20"/>
      <w:szCs w:val="20"/>
    </w:rPr>
  </w:style>
  <w:style w:type="paragraph" w:customStyle="1" w:styleId="18">
    <w:name w:val="UserStyle_24"/>
    <w:basedOn w:val="1"/>
    <w:link w:val="17"/>
    <w:autoRedefine/>
    <w:qFormat/>
    <w:uiPriority w:val="0"/>
    <w:pPr>
      <w:widowControl/>
      <w:spacing w:line="360" w:lineRule="auto"/>
      <w:ind w:firstLine="200" w:firstLineChars="200"/>
      <w:jc w:val="left"/>
    </w:pPr>
    <w:rPr>
      <w:kern w:val="0"/>
      <w:sz w:val="20"/>
      <w:szCs w:val="20"/>
    </w:rPr>
  </w:style>
  <w:style w:type="paragraph" w:customStyle="1" w:styleId="19">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20">
    <w:name w:val="Table Paragraph"/>
    <w:basedOn w:val="1"/>
    <w:qFormat/>
    <w:uiPriority w:val="1"/>
    <w:pPr>
      <w:jc w:val="left"/>
    </w:pPr>
    <w:rPr>
      <w:rFonts w:ascii="Calibri" w:hAnsi="Calibri" w:eastAsia="宋体" w:cs="Times New Roman"/>
      <w:kern w:val="0"/>
      <w:sz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7642</Words>
  <Characters>8467</Characters>
  <Lines>0</Lines>
  <Paragraphs>0</Paragraphs>
  <TotalTime>11</TotalTime>
  <ScaleCrop>false</ScaleCrop>
  <LinksUpToDate>false</LinksUpToDate>
  <CharactersWithSpaces>8556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2026-05-14T02:16:00Z</dcterms:created>
  <dc:creator>鲁鹏</dc:creator>
  <cp:lastModifiedBy>冯士峰</cp:lastModifiedBy>
  <dcterms:modified xsi:type="dcterms:W3CDTF">2026-05-15T00:47:33Z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54459CB82DCE470AB5C83F6E53DAAD9A_11</vt:lpwstr>
  </property>
  <property fmtid="{D5CDD505-2E9C-101B-9397-08002B2CF9AE}" pid="4" name="KSOTemplateDocerSaveRecord">
    <vt:lpwstr>eyJoZGlkIjoiMjNhMGNiNzBmYzRmYmU1YWU1ZDVjYzI3MTI0YTIzZjQiLCJ1c2VySWQiOiIxNjg3ODQzOTczIn0=</vt:lpwstr>
  </property>
</Properties>
</file>