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4215F">
      <w:pPr>
        <w:snapToGrid w:val="0"/>
        <w:spacing w:line="360" w:lineRule="auto"/>
        <w:textAlignment w:val="baseline"/>
        <w:rPr>
          <w:b/>
          <w:bCs/>
          <w:sz w:val="24"/>
          <w:szCs w:val="24"/>
          <w:highlight w:val="none"/>
          <w:lang w:eastAsia="zh-CN"/>
        </w:rPr>
      </w:pPr>
      <w:bookmarkStart w:id="4" w:name="_GoBack"/>
      <w:bookmarkEnd w:id="4"/>
      <w:bookmarkStart w:id="0" w:name="_Toc7171"/>
      <w:bookmarkStart w:id="1" w:name="OLE_LINK3"/>
      <w:bookmarkStart w:id="2" w:name="OLE_LINK1"/>
      <w:r>
        <w:rPr>
          <w:rFonts w:hint="eastAsia" w:ascii="宋体" w:hAnsi="宋体"/>
          <w:b/>
          <w:bCs/>
          <w:sz w:val="24"/>
          <w:szCs w:val="24"/>
          <w:highlight w:val="none"/>
          <w:lang w:eastAsia="zh-CN"/>
        </w:rPr>
        <w:t>附件</w:t>
      </w:r>
      <w:r>
        <w:rPr>
          <w:rFonts w:ascii="宋体" w:hAnsi="宋体"/>
          <w:b/>
          <w:bCs/>
          <w:sz w:val="24"/>
          <w:szCs w:val="24"/>
          <w:highlight w:val="none"/>
          <w:lang w:eastAsia="zh-CN"/>
        </w:rPr>
        <w:t>1</w:t>
      </w:r>
      <w:r>
        <w:rPr>
          <w:rFonts w:hint="eastAsia" w:ascii="宋体" w:hAnsi="宋体"/>
          <w:b/>
          <w:bCs/>
          <w:sz w:val="24"/>
          <w:szCs w:val="24"/>
          <w:highlight w:val="none"/>
          <w:lang w:eastAsia="zh-CN"/>
        </w:rPr>
        <w:t>：资格审查条件</w:t>
      </w:r>
      <w:bookmarkEnd w:id="0"/>
    </w:p>
    <w:p w14:paraId="5F20F933">
      <w:pPr>
        <w:jc w:val="center"/>
        <w:rPr>
          <w:rFonts w:hint="eastAsia" w:ascii="宋体" w:hAnsi="宋体"/>
          <w:b/>
          <w:sz w:val="24"/>
          <w:szCs w:val="24"/>
          <w:highlight w:val="none"/>
          <w:lang w:eastAsia="zh-CN"/>
        </w:rPr>
      </w:pPr>
    </w:p>
    <w:p w14:paraId="0F050281">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附录1资格审查条件（资质最低要求）</w:t>
      </w:r>
    </w:p>
    <w:tbl>
      <w:tblPr>
        <w:tblStyle w:val="7"/>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3515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4E3DD4B2">
            <w:pPr>
              <w:jc w:val="center"/>
              <w:rPr>
                <w:rFonts w:hint="eastAsia" w:ascii="宋体" w:hAnsi="宋体"/>
                <w:sz w:val="21"/>
                <w:szCs w:val="24"/>
                <w:highlight w:val="none"/>
              </w:rPr>
            </w:pPr>
            <w:r>
              <w:rPr>
                <w:rFonts w:hint="eastAsia" w:ascii="宋体" w:hAnsi="宋体"/>
                <w:sz w:val="21"/>
                <w:szCs w:val="24"/>
                <w:highlight w:val="none"/>
              </w:rPr>
              <w:t>资质等级要求</w:t>
            </w:r>
          </w:p>
        </w:tc>
      </w:tr>
      <w:tr w14:paraId="06F3C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642" w:type="dxa"/>
            <w:vAlign w:val="center"/>
          </w:tcPr>
          <w:p w14:paraId="1818B566">
            <w:pPr>
              <w:snapToGrid w:val="0"/>
              <w:spacing w:line="360" w:lineRule="exact"/>
              <w:ind w:firstLine="420" w:firstLineChars="200"/>
              <w:rPr>
                <w:highlight w:val="none"/>
                <w:lang w:eastAsia="zh-CN"/>
              </w:rPr>
            </w:pPr>
            <w:r>
              <w:rPr>
                <w:rFonts w:hint="eastAsia" w:ascii="宋体" w:hAnsi="宋体"/>
                <w:sz w:val="21"/>
                <w:szCs w:val="24"/>
                <w:highlight w:val="none"/>
                <w:lang w:eastAsia="zh-CN"/>
              </w:rPr>
              <w:t>投标人应是中华人民共和国境内的法人或其他组织，持有有效的营业执照；</w:t>
            </w:r>
          </w:p>
        </w:tc>
      </w:tr>
    </w:tbl>
    <w:p w14:paraId="503F1621">
      <w:pPr>
        <w:snapToGrid w:val="0"/>
        <w:rPr>
          <w:rFonts w:hint="eastAsia" w:ascii="宋体" w:hAnsi="宋体"/>
          <w:sz w:val="24"/>
          <w:szCs w:val="24"/>
          <w:highlight w:val="none"/>
          <w:lang w:eastAsia="zh-CN"/>
        </w:rPr>
      </w:pPr>
    </w:p>
    <w:p w14:paraId="1F40CBA1">
      <w:pPr>
        <w:pStyle w:val="12"/>
        <w:snapToGrid w:val="0"/>
        <w:spacing w:line="240" w:lineRule="auto"/>
        <w:ind w:firstLine="640"/>
        <w:rPr>
          <w:highlight w:val="none"/>
          <w:lang w:eastAsia="zh-CN"/>
        </w:rPr>
      </w:pPr>
    </w:p>
    <w:p w14:paraId="13D09896">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附录2资格审查条件（业绩最低要求）</w:t>
      </w:r>
    </w:p>
    <w:tbl>
      <w:tblPr>
        <w:tblStyle w:val="7"/>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2902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447A75B4">
            <w:pPr>
              <w:jc w:val="center"/>
              <w:rPr>
                <w:rFonts w:hint="eastAsia" w:ascii="宋体" w:hAnsi="宋体"/>
                <w:sz w:val="21"/>
                <w:szCs w:val="21"/>
                <w:highlight w:val="none"/>
              </w:rPr>
            </w:pPr>
            <w:r>
              <w:rPr>
                <w:rFonts w:hint="eastAsia" w:ascii="宋体" w:hAnsi="宋体"/>
                <w:sz w:val="21"/>
                <w:szCs w:val="21"/>
                <w:highlight w:val="none"/>
              </w:rPr>
              <w:t>业绩要求</w:t>
            </w:r>
          </w:p>
        </w:tc>
      </w:tr>
      <w:tr w14:paraId="2C3C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590191A1">
            <w:pPr>
              <w:snapToGrid w:val="0"/>
              <w:spacing w:line="360" w:lineRule="exact"/>
              <w:ind w:firstLine="420" w:firstLineChars="200"/>
              <w:rPr>
                <w:rFonts w:hint="eastAsia" w:ascii="宋体" w:hAnsi="宋体"/>
                <w:strike/>
                <w:sz w:val="21"/>
                <w:szCs w:val="21"/>
                <w:highlight w:val="none"/>
                <w:lang w:eastAsia="zh-CN"/>
              </w:rPr>
            </w:pPr>
            <w:r>
              <w:rPr>
                <w:rFonts w:hint="eastAsia" w:ascii="宋体" w:hAnsi="宋体"/>
                <w:sz w:val="21"/>
                <w:szCs w:val="21"/>
                <w:highlight w:val="none"/>
                <w:lang w:eastAsia="zh-CN"/>
              </w:rPr>
              <w:t>近5年（2021年4月1日至投标截止时间，以合同签订时间为准），至少承担过1项软件开发</w:t>
            </w:r>
            <w:r>
              <w:rPr>
                <w:rFonts w:hint="eastAsia" w:ascii="宋体" w:hAnsi="宋体"/>
                <w:sz w:val="21"/>
                <w:szCs w:val="21"/>
                <w:highlight w:val="none"/>
                <w:lang w:val="en-US" w:eastAsia="zh-CN"/>
              </w:rPr>
              <w:t>项目</w:t>
            </w:r>
            <w:r>
              <w:rPr>
                <w:rFonts w:hint="eastAsia" w:ascii="宋体" w:hAnsi="宋体"/>
                <w:sz w:val="21"/>
                <w:szCs w:val="21"/>
                <w:highlight w:val="none"/>
                <w:lang w:eastAsia="zh-CN"/>
              </w:rPr>
              <w:t>。</w:t>
            </w:r>
          </w:p>
        </w:tc>
      </w:tr>
    </w:tbl>
    <w:p w14:paraId="323901A8">
      <w:pPr>
        <w:snapToGrid w:val="0"/>
        <w:rPr>
          <w:rFonts w:hint="eastAsia" w:ascii="宋体" w:hAnsi="宋体"/>
          <w:sz w:val="24"/>
          <w:szCs w:val="24"/>
          <w:highlight w:val="none"/>
          <w:lang w:eastAsia="zh-CN"/>
        </w:rPr>
      </w:pPr>
    </w:p>
    <w:p w14:paraId="50015DF3">
      <w:pPr>
        <w:pStyle w:val="12"/>
        <w:snapToGrid w:val="0"/>
        <w:spacing w:line="240" w:lineRule="auto"/>
        <w:ind w:firstLine="640"/>
        <w:rPr>
          <w:highlight w:val="none"/>
          <w:lang w:eastAsia="zh-CN"/>
        </w:rPr>
      </w:pPr>
    </w:p>
    <w:p w14:paraId="5F7E1DE6">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附录3资格审查条件（信誉最低要求）</w:t>
      </w:r>
    </w:p>
    <w:tbl>
      <w:tblPr>
        <w:tblStyle w:val="7"/>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3C7A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044DEC9B">
            <w:pPr>
              <w:jc w:val="center"/>
              <w:rPr>
                <w:rFonts w:hint="eastAsia" w:ascii="宋体" w:hAnsi="宋体"/>
                <w:sz w:val="21"/>
                <w:szCs w:val="21"/>
                <w:highlight w:val="none"/>
              </w:rPr>
            </w:pPr>
            <w:r>
              <w:rPr>
                <w:rFonts w:hint="eastAsia" w:ascii="宋体" w:hAnsi="宋体"/>
                <w:sz w:val="21"/>
                <w:szCs w:val="21"/>
                <w:highlight w:val="none"/>
              </w:rPr>
              <w:t>信誉要求</w:t>
            </w:r>
          </w:p>
        </w:tc>
      </w:tr>
      <w:tr w14:paraId="1D00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48631A9B">
            <w:pPr>
              <w:snapToGrid w:val="0"/>
              <w:spacing w:line="36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投标人在过去1年中（2025年4月1日至投标截止时间）不曾在软件开发合同中违约而被逐或因投标人自身的原因而使软件开发合同被解除。</w:t>
            </w:r>
          </w:p>
        </w:tc>
      </w:tr>
    </w:tbl>
    <w:p w14:paraId="388EACD2">
      <w:pPr>
        <w:snapToGrid w:val="0"/>
        <w:rPr>
          <w:rFonts w:hint="eastAsia" w:ascii="宋体" w:hAnsi="宋体"/>
          <w:sz w:val="24"/>
          <w:szCs w:val="24"/>
          <w:highlight w:val="none"/>
          <w:lang w:eastAsia="zh-CN"/>
        </w:rPr>
      </w:pPr>
    </w:p>
    <w:p w14:paraId="5488D2C6">
      <w:pPr>
        <w:pStyle w:val="12"/>
        <w:snapToGrid w:val="0"/>
        <w:spacing w:line="240" w:lineRule="auto"/>
        <w:ind w:firstLine="640"/>
        <w:rPr>
          <w:highlight w:val="none"/>
          <w:lang w:eastAsia="zh-CN"/>
        </w:rPr>
      </w:pPr>
    </w:p>
    <w:p w14:paraId="200AD1A5">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附录4资格审查条件（项目负责人和技术负责人最低要求）</w:t>
      </w:r>
    </w:p>
    <w:tbl>
      <w:tblPr>
        <w:tblStyle w:val="7"/>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950"/>
        <w:gridCol w:w="5909"/>
      </w:tblGrid>
      <w:tr w14:paraId="1B95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812" w:type="dxa"/>
            <w:vAlign w:val="center"/>
          </w:tcPr>
          <w:p w14:paraId="5A196701">
            <w:pPr>
              <w:jc w:val="center"/>
              <w:rPr>
                <w:rFonts w:hint="eastAsia" w:ascii="宋体" w:hAnsi="宋体"/>
                <w:sz w:val="21"/>
                <w:szCs w:val="21"/>
                <w:highlight w:val="none"/>
              </w:rPr>
            </w:pPr>
            <w:r>
              <w:rPr>
                <w:rFonts w:hint="eastAsia" w:ascii="宋体" w:hAnsi="宋体"/>
                <w:sz w:val="21"/>
                <w:szCs w:val="21"/>
                <w:highlight w:val="none"/>
              </w:rPr>
              <w:t>人员</w:t>
            </w:r>
          </w:p>
        </w:tc>
        <w:tc>
          <w:tcPr>
            <w:tcW w:w="950" w:type="dxa"/>
            <w:vAlign w:val="center"/>
          </w:tcPr>
          <w:p w14:paraId="1B9176D2">
            <w:pPr>
              <w:jc w:val="center"/>
              <w:rPr>
                <w:rFonts w:hint="eastAsia" w:ascii="宋体" w:hAnsi="宋体"/>
                <w:sz w:val="21"/>
                <w:szCs w:val="21"/>
                <w:highlight w:val="none"/>
              </w:rPr>
            </w:pPr>
            <w:r>
              <w:rPr>
                <w:rFonts w:hint="eastAsia" w:ascii="宋体" w:hAnsi="宋体"/>
                <w:sz w:val="21"/>
                <w:szCs w:val="21"/>
                <w:highlight w:val="none"/>
              </w:rPr>
              <w:t>数量</w:t>
            </w:r>
          </w:p>
        </w:tc>
        <w:tc>
          <w:tcPr>
            <w:tcW w:w="5909" w:type="dxa"/>
            <w:vAlign w:val="center"/>
          </w:tcPr>
          <w:p w14:paraId="36880785">
            <w:pPr>
              <w:jc w:val="center"/>
              <w:rPr>
                <w:rFonts w:hint="eastAsia" w:ascii="宋体" w:hAnsi="宋体"/>
                <w:sz w:val="21"/>
                <w:szCs w:val="21"/>
                <w:highlight w:val="none"/>
              </w:rPr>
            </w:pPr>
            <w:r>
              <w:rPr>
                <w:rFonts w:hint="eastAsia" w:ascii="宋体" w:hAnsi="宋体"/>
                <w:sz w:val="21"/>
                <w:szCs w:val="21"/>
                <w:highlight w:val="none"/>
              </w:rPr>
              <w:t>资格要求</w:t>
            </w:r>
          </w:p>
        </w:tc>
      </w:tr>
      <w:tr w14:paraId="2BB5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1812" w:type="dxa"/>
            <w:vAlign w:val="center"/>
          </w:tcPr>
          <w:p w14:paraId="46D5830B">
            <w:pPr>
              <w:jc w:val="center"/>
              <w:rPr>
                <w:rFonts w:hint="eastAsia" w:ascii="宋体" w:hAnsi="宋体"/>
                <w:sz w:val="21"/>
                <w:szCs w:val="21"/>
                <w:highlight w:val="none"/>
                <w:lang w:eastAsia="zh-CN"/>
              </w:rPr>
            </w:pPr>
            <w:r>
              <w:rPr>
                <w:rFonts w:hint="eastAsia" w:ascii="宋体" w:hAnsi="宋体"/>
                <w:sz w:val="21"/>
                <w:szCs w:val="21"/>
                <w:highlight w:val="none"/>
                <w:lang w:eastAsia="zh-CN"/>
              </w:rPr>
              <w:t>项目负责人</w:t>
            </w:r>
          </w:p>
        </w:tc>
        <w:tc>
          <w:tcPr>
            <w:tcW w:w="950" w:type="dxa"/>
            <w:vAlign w:val="center"/>
          </w:tcPr>
          <w:p w14:paraId="08112659">
            <w:pPr>
              <w:jc w:val="center"/>
              <w:rPr>
                <w:rFonts w:hint="eastAsia" w:ascii="宋体" w:hAnsi="宋体"/>
                <w:sz w:val="21"/>
                <w:szCs w:val="21"/>
                <w:highlight w:val="none"/>
                <w:lang w:eastAsia="zh-CN"/>
              </w:rPr>
            </w:pPr>
            <w:r>
              <w:rPr>
                <w:rFonts w:hint="eastAsia" w:ascii="宋体" w:hAnsi="宋体"/>
                <w:sz w:val="21"/>
                <w:szCs w:val="21"/>
                <w:highlight w:val="none"/>
                <w:lang w:eastAsia="zh-CN"/>
              </w:rPr>
              <w:t>1</w:t>
            </w:r>
          </w:p>
        </w:tc>
        <w:tc>
          <w:tcPr>
            <w:tcW w:w="5909" w:type="dxa"/>
            <w:vAlign w:val="center"/>
          </w:tcPr>
          <w:p w14:paraId="14F8E6A6">
            <w:pPr>
              <w:rPr>
                <w:rFonts w:hint="eastAsia" w:ascii="宋体" w:hAnsi="宋体"/>
                <w:sz w:val="21"/>
                <w:szCs w:val="21"/>
                <w:highlight w:val="none"/>
                <w:lang w:eastAsia="zh-CN"/>
              </w:rPr>
            </w:pPr>
            <w:r>
              <w:rPr>
                <w:rFonts w:hint="eastAsia" w:ascii="宋体" w:hAnsi="宋体"/>
                <w:sz w:val="21"/>
                <w:szCs w:val="21"/>
                <w:highlight w:val="none"/>
                <w:lang w:eastAsia="zh-CN"/>
              </w:rPr>
              <w:t>具</w:t>
            </w:r>
            <w:r>
              <w:rPr>
                <w:rFonts w:hint="eastAsia" w:ascii="宋体" w:hAnsi="宋体"/>
                <w:sz w:val="21"/>
                <w:szCs w:val="21"/>
                <w:highlight w:val="none"/>
                <w:lang w:val="en-US" w:eastAsia="zh-CN"/>
              </w:rPr>
              <w:t>备</w:t>
            </w:r>
            <w:r>
              <w:rPr>
                <w:rFonts w:hint="eastAsia" w:ascii="宋体" w:hAnsi="宋体"/>
                <w:sz w:val="21"/>
                <w:szCs w:val="21"/>
                <w:highlight w:val="none"/>
                <w:lang w:eastAsia="zh-CN"/>
              </w:rPr>
              <w:t>高级及以上职称（</w:t>
            </w:r>
            <w:r>
              <w:rPr>
                <w:rFonts w:hint="eastAsia" w:ascii="宋体" w:hAnsi="宋体"/>
                <w:sz w:val="21"/>
                <w:szCs w:val="21"/>
                <w:highlight w:val="none"/>
                <w:lang w:val="en-US" w:eastAsia="zh-CN"/>
              </w:rPr>
              <w:t>电子信息工程或计算机相关专业</w:t>
            </w:r>
            <w:r>
              <w:rPr>
                <w:rFonts w:hint="eastAsia" w:ascii="宋体" w:hAnsi="宋体"/>
                <w:sz w:val="21"/>
                <w:szCs w:val="21"/>
                <w:highlight w:val="none"/>
                <w:lang w:eastAsia="zh-CN"/>
              </w:rPr>
              <w:t>）</w:t>
            </w:r>
          </w:p>
          <w:p w14:paraId="78820B5B">
            <w:pPr>
              <w:rPr>
                <w:rFonts w:hint="eastAsia" w:ascii="宋体" w:hAnsi="宋体"/>
                <w:sz w:val="21"/>
                <w:szCs w:val="21"/>
                <w:highlight w:val="none"/>
                <w:lang w:eastAsia="zh-CN"/>
              </w:rPr>
            </w:pPr>
            <w:r>
              <w:rPr>
                <w:rFonts w:hint="eastAsia" w:ascii="宋体" w:hAnsi="宋体"/>
                <w:sz w:val="21"/>
                <w:szCs w:val="21"/>
                <w:highlight w:val="none"/>
                <w:lang w:eastAsia="zh-CN"/>
              </w:rPr>
              <w:t>近5年（2021年4月1日至投标截止时间，以合同签订时间为准），</w:t>
            </w:r>
            <w:r>
              <w:rPr>
                <w:rFonts w:hint="eastAsia" w:ascii="宋体" w:hAnsi="宋体"/>
                <w:sz w:val="21"/>
                <w:szCs w:val="21"/>
                <w:highlight w:val="none"/>
                <w:lang w:val="en-US" w:eastAsia="zh-CN"/>
              </w:rPr>
              <w:t>至少</w:t>
            </w:r>
            <w:r>
              <w:rPr>
                <w:rFonts w:hint="eastAsia" w:ascii="宋体" w:hAnsi="宋体"/>
                <w:sz w:val="21"/>
                <w:szCs w:val="21"/>
                <w:highlight w:val="none"/>
                <w:lang w:eastAsia="zh-CN"/>
              </w:rPr>
              <w:t>担任过1项软件开发项目的项目负责人</w:t>
            </w:r>
            <w:r>
              <w:rPr>
                <w:rFonts w:hint="eastAsia" w:ascii="宋体" w:hAnsi="宋体"/>
                <w:bCs/>
                <w:sz w:val="21"/>
                <w:szCs w:val="21"/>
                <w:highlight w:val="none"/>
                <w:lang w:eastAsia="zh-CN"/>
              </w:rPr>
              <w:t>（或项目经理或技术负责人）</w:t>
            </w:r>
          </w:p>
        </w:tc>
      </w:tr>
      <w:tr w14:paraId="4301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trPr>
        <w:tc>
          <w:tcPr>
            <w:tcW w:w="1812" w:type="dxa"/>
            <w:vAlign w:val="center"/>
          </w:tcPr>
          <w:p w14:paraId="5D70B7C0">
            <w:pPr>
              <w:jc w:val="center"/>
              <w:rPr>
                <w:rFonts w:hint="eastAsia" w:ascii="宋体" w:hAnsi="宋体"/>
                <w:sz w:val="21"/>
                <w:szCs w:val="21"/>
                <w:highlight w:val="none"/>
                <w:lang w:eastAsia="zh-CN"/>
              </w:rPr>
            </w:pPr>
            <w:r>
              <w:rPr>
                <w:rFonts w:hint="eastAsia" w:ascii="宋体" w:hAnsi="宋体"/>
                <w:sz w:val="21"/>
                <w:szCs w:val="21"/>
                <w:highlight w:val="none"/>
                <w:lang w:eastAsia="zh-CN"/>
              </w:rPr>
              <w:t>技术负责人</w:t>
            </w:r>
          </w:p>
        </w:tc>
        <w:tc>
          <w:tcPr>
            <w:tcW w:w="950" w:type="dxa"/>
            <w:vAlign w:val="center"/>
          </w:tcPr>
          <w:p w14:paraId="484632CA">
            <w:pPr>
              <w:jc w:val="center"/>
              <w:rPr>
                <w:rFonts w:hint="eastAsia" w:ascii="宋体" w:hAnsi="宋体"/>
                <w:sz w:val="21"/>
                <w:szCs w:val="21"/>
                <w:highlight w:val="none"/>
                <w:lang w:eastAsia="zh-CN"/>
              </w:rPr>
            </w:pPr>
            <w:r>
              <w:rPr>
                <w:rFonts w:hint="eastAsia" w:ascii="宋体" w:hAnsi="宋体"/>
                <w:sz w:val="21"/>
                <w:szCs w:val="21"/>
                <w:highlight w:val="none"/>
                <w:lang w:eastAsia="zh-CN"/>
              </w:rPr>
              <w:t>1</w:t>
            </w:r>
          </w:p>
        </w:tc>
        <w:tc>
          <w:tcPr>
            <w:tcW w:w="5909" w:type="dxa"/>
            <w:vAlign w:val="center"/>
          </w:tcPr>
          <w:p w14:paraId="48175AC1">
            <w:pPr>
              <w:rPr>
                <w:rFonts w:hint="eastAsia" w:ascii="宋体" w:hAnsi="宋体"/>
                <w:sz w:val="21"/>
                <w:szCs w:val="21"/>
                <w:highlight w:val="none"/>
                <w:lang w:eastAsia="zh-CN"/>
              </w:rPr>
            </w:pPr>
            <w:r>
              <w:rPr>
                <w:rFonts w:hint="eastAsia" w:ascii="宋体" w:hAnsi="宋体"/>
                <w:sz w:val="21"/>
                <w:szCs w:val="21"/>
                <w:highlight w:val="none"/>
                <w:lang w:eastAsia="zh-CN"/>
              </w:rPr>
              <w:t>具</w:t>
            </w:r>
            <w:r>
              <w:rPr>
                <w:rFonts w:hint="eastAsia" w:ascii="宋体" w:hAnsi="宋体"/>
                <w:sz w:val="21"/>
                <w:szCs w:val="21"/>
                <w:highlight w:val="none"/>
                <w:lang w:val="en-US" w:eastAsia="zh-CN"/>
              </w:rPr>
              <w:t>备</w:t>
            </w:r>
            <w:r>
              <w:rPr>
                <w:rFonts w:hint="eastAsia" w:ascii="宋体" w:hAnsi="宋体"/>
                <w:sz w:val="21"/>
                <w:szCs w:val="21"/>
                <w:highlight w:val="none"/>
                <w:lang w:eastAsia="zh-CN"/>
              </w:rPr>
              <w:t>高级及以上职称（</w:t>
            </w:r>
            <w:r>
              <w:rPr>
                <w:rFonts w:hint="eastAsia" w:ascii="宋体" w:hAnsi="宋体"/>
                <w:sz w:val="21"/>
                <w:szCs w:val="21"/>
                <w:highlight w:val="none"/>
                <w:lang w:val="en-US" w:eastAsia="zh-CN"/>
              </w:rPr>
              <w:t>电子信息工程或计算机相关专业</w:t>
            </w:r>
            <w:r>
              <w:rPr>
                <w:rFonts w:hint="eastAsia" w:ascii="宋体" w:hAnsi="宋体"/>
                <w:sz w:val="21"/>
                <w:szCs w:val="21"/>
                <w:highlight w:val="none"/>
                <w:lang w:eastAsia="zh-CN"/>
              </w:rPr>
              <w:t>）</w:t>
            </w:r>
          </w:p>
          <w:p w14:paraId="2DCE08A2">
            <w:pPr>
              <w:rPr>
                <w:rFonts w:hint="eastAsia" w:ascii="宋体" w:hAnsi="宋体"/>
                <w:sz w:val="21"/>
                <w:szCs w:val="21"/>
                <w:highlight w:val="none"/>
                <w:lang w:eastAsia="zh-CN"/>
              </w:rPr>
            </w:pPr>
            <w:r>
              <w:rPr>
                <w:rFonts w:hint="eastAsia" w:ascii="宋体" w:hAnsi="宋体"/>
                <w:sz w:val="21"/>
                <w:szCs w:val="21"/>
                <w:highlight w:val="none"/>
                <w:lang w:eastAsia="zh-CN"/>
              </w:rPr>
              <w:t>近5年（2021年4月1日至投标截止时间，以合同签订时间为准），</w:t>
            </w:r>
            <w:r>
              <w:rPr>
                <w:rFonts w:hint="eastAsia" w:ascii="宋体" w:hAnsi="宋体"/>
                <w:sz w:val="21"/>
                <w:szCs w:val="21"/>
                <w:highlight w:val="none"/>
                <w:lang w:val="en-US" w:eastAsia="zh-CN"/>
              </w:rPr>
              <w:t>至少</w:t>
            </w:r>
            <w:r>
              <w:rPr>
                <w:rFonts w:hint="eastAsia" w:ascii="宋体" w:hAnsi="宋体"/>
                <w:sz w:val="21"/>
                <w:szCs w:val="21"/>
                <w:highlight w:val="none"/>
                <w:lang w:eastAsia="zh-CN"/>
              </w:rPr>
              <w:t>担任过1项软件开发项目的</w:t>
            </w:r>
            <w:r>
              <w:rPr>
                <w:rFonts w:hint="eastAsia" w:ascii="宋体" w:hAnsi="宋体"/>
                <w:sz w:val="21"/>
                <w:szCs w:val="21"/>
                <w:highlight w:val="none"/>
                <w:lang w:val="en-US" w:eastAsia="zh-CN"/>
              </w:rPr>
              <w:t>技术</w:t>
            </w:r>
            <w:r>
              <w:rPr>
                <w:rFonts w:hint="eastAsia" w:ascii="宋体" w:hAnsi="宋体"/>
                <w:sz w:val="21"/>
                <w:szCs w:val="21"/>
                <w:highlight w:val="none"/>
                <w:lang w:eastAsia="zh-CN"/>
              </w:rPr>
              <w:t>负责人</w:t>
            </w:r>
            <w:r>
              <w:rPr>
                <w:rFonts w:hint="eastAsia" w:ascii="宋体" w:hAnsi="宋体"/>
                <w:bCs/>
                <w:sz w:val="21"/>
                <w:szCs w:val="21"/>
                <w:highlight w:val="none"/>
                <w:lang w:eastAsia="zh-CN"/>
              </w:rPr>
              <w:t>（或项目经理或</w:t>
            </w:r>
            <w:r>
              <w:rPr>
                <w:rFonts w:hint="eastAsia" w:ascii="宋体" w:hAnsi="宋体"/>
                <w:bCs/>
                <w:sz w:val="21"/>
                <w:szCs w:val="21"/>
                <w:highlight w:val="none"/>
                <w:lang w:val="en-US" w:eastAsia="zh-CN"/>
              </w:rPr>
              <w:t>项目</w:t>
            </w:r>
            <w:r>
              <w:rPr>
                <w:rFonts w:hint="eastAsia" w:ascii="宋体" w:hAnsi="宋体"/>
                <w:bCs/>
                <w:sz w:val="21"/>
                <w:szCs w:val="21"/>
                <w:highlight w:val="none"/>
                <w:lang w:eastAsia="zh-CN"/>
              </w:rPr>
              <w:t>负责人）</w:t>
            </w:r>
          </w:p>
        </w:tc>
      </w:tr>
    </w:tbl>
    <w:p w14:paraId="2C0FEA0B">
      <w:pPr>
        <w:pStyle w:val="3"/>
        <w:snapToGrid w:val="0"/>
        <w:spacing w:before="156" w:beforeLines="50" w:after="156" w:afterLines="50" w:line="240" w:lineRule="auto"/>
        <w:rPr>
          <w:rFonts w:hint="eastAsia" w:ascii="黑体" w:eastAsia="黑体"/>
          <w:spacing w:val="-8"/>
          <w:highlight w:val="none"/>
          <w:lang w:eastAsia="zh-CN"/>
        </w:rPr>
        <w:sectPr>
          <w:footerReference r:id="rId4" w:type="first"/>
          <w:footerReference r:id="rId3" w:type="default"/>
          <w:pgSz w:w="11906" w:h="16838"/>
          <w:pgMar w:top="1440" w:right="1463" w:bottom="1440" w:left="1463" w:header="851" w:footer="992" w:gutter="0"/>
          <w:cols w:space="0" w:num="1"/>
          <w:docGrid w:type="lines" w:linePitch="312" w:charSpace="0"/>
        </w:sectPr>
      </w:pPr>
      <w:r>
        <w:rPr>
          <w:rFonts w:ascii="黑体" w:eastAsia="黑体"/>
          <w:spacing w:val="-8"/>
          <w:highlight w:val="none"/>
          <w:lang w:eastAsia="zh-CN"/>
        </w:rPr>
        <w:br w:type="page"/>
      </w:r>
      <w:bookmarkStart w:id="3" w:name="_Toc24234"/>
    </w:p>
    <w:bookmarkEnd w:id="1"/>
    <w:bookmarkEnd w:id="2"/>
    <w:bookmarkEnd w:id="3"/>
    <w:p w14:paraId="79928128">
      <w:pPr>
        <w:pStyle w:val="3"/>
        <w:numPr>
          <w:ilvl w:val="0"/>
          <w:numId w:val="0"/>
        </w:numPr>
        <w:snapToGrid w:val="0"/>
        <w:spacing w:before="156" w:beforeLines="50" w:after="156" w:afterLines="50" w:line="240" w:lineRule="auto"/>
        <w:ind w:left="138" w:leftChars="0"/>
        <w:rPr>
          <w:rFonts w:hint="eastAsia"/>
          <w:highlight w:val="none"/>
          <w:lang w:eastAsia="zh-CN"/>
        </w:rPr>
      </w:pPr>
      <w:r>
        <w:rPr>
          <w:rFonts w:hint="eastAsia"/>
          <w:spacing w:val="-6"/>
          <w:highlight w:val="none"/>
          <w:lang w:eastAsia="zh-CN"/>
        </w:rPr>
        <w:t>附件2：评标办法</w:t>
      </w:r>
    </w:p>
    <w:p w14:paraId="0471E195">
      <w:pPr>
        <w:spacing w:before="203" w:line="218" w:lineRule="auto"/>
        <w:ind w:left="3562"/>
        <w:rPr>
          <w:rFonts w:hint="eastAsia" w:ascii="宋体" w:hAnsi="宋体"/>
          <w:sz w:val="24"/>
          <w:szCs w:val="24"/>
          <w:highlight w:val="none"/>
          <w:lang w:eastAsia="zh-CN"/>
        </w:rPr>
      </w:pPr>
      <w:r>
        <w:rPr>
          <w:rFonts w:ascii="宋体" w:hAnsi="宋体"/>
          <w:b/>
          <w:bCs/>
          <w:spacing w:val="-3"/>
          <w:sz w:val="24"/>
          <w:szCs w:val="24"/>
          <w:highlight w:val="none"/>
          <w:lang w:eastAsia="zh-CN"/>
        </w:rPr>
        <w:t>评标办法（</w:t>
      </w:r>
      <w:r>
        <w:rPr>
          <w:rFonts w:hint="eastAsia" w:ascii="宋体" w:hAnsi="宋体"/>
          <w:b/>
          <w:bCs/>
          <w:spacing w:val="-3"/>
          <w:sz w:val="24"/>
          <w:szCs w:val="24"/>
          <w:highlight w:val="none"/>
          <w:lang w:eastAsia="zh-CN"/>
        </w:rPr>
        <w:t>综合评估法</w:t>
      </w:r>
      <w:r>
        <w:rPr>
          <w:rFonts w:ascii="宋体" w:hAnsi="宋体"/>
          <w:b/>
          <w:bCs/>
          <w:spacing w:val="-3"/>
          <w:sz w:val="24"/>
          <w:szCs w:val="24"/>
          <w:highlight w:val="none"/>
          <w:lang w:eastAsia="zh-CN"/>
        </w:rPr>
        <w:t>）</w:t>
      </w:r>
    </w:p>
    <w:p w14:paraId="1FE7C2F5">
      <w:pPr>
        <w:spacing w:before="181" w:line="219" w:lineRule="auto"/>
        <w:ind w:left="113"/>
        <w:rPr>
          <w:rFonts w:hint="eastAsia" w:ascii="宋体" w:hAnsi="宋体"/>
          <w:sz w:val="24"/>
          <w:szCs w:val="24"/>
          <w:highlight w:val="none"/>
        </w:rPr>
      </w:pPr>
      <w:r>
        <w:rPr>
          <w:rFonts w:ascii="宋体" w:hAnsi="宋体"/>
          <w:b/>
          <w:bCs/>
          <w:spacing w:val="-4"/>
          <w:sz w:val="24"/>
          <w:szCs w:val="24"/>
          <w:highlight w:val="none"/>
        </w:rPr>
        <w:t>评标办法前附表</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444"/>
        <w:gridCol w:w="6956"/>
        <w:gridCol w:w="17"/>
      </w:tblGrid>
      <w:tr w14:paraId="0E7F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209" w:type="pct"/>
            <w:gridSpan w:val="2"/>
            <w:vAlign w:val="center"/>
          </w:tcPr>
          <w:p w14:paraId="192F02D4">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条款号</w:t>
            </w:r>
          </w:p>
        </w:tc>
        <w:tc>
          <w:tcPr>
            <w:tcW w:w="3790" w:type="pct"/>
            <w:gridSpan w:val="2"/>
            <w:vAlign w:val="center"/>
          </w:tcPr>
          <w:p w14:paraId="3B8C3FFB">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评审因素与评审标准</w:t>
            </w:r>
          </w:p>
        </w:tc>
      </w:tr>
      <w:tr w14:paraId="1CF0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trPr>
        <w:tc>
          <w:tcPr>
            <w:tcW w:w="424" w:type="pct"/>
            <w:vAlign w:val="center"/>
          </w:tcPr>
          <w:p w14:paraId="43B3AC1F">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1</w:t>
            </w:r>
          </w:p>
        </w:tc>
        <w:tc>
          <w:tcPr>
            <w:tcW w:w="785" w:type="pct"/>
            <w:vAlign w:val="center"/>
          </w:tcPr>
          <w:p w14:paraId="5EDF0C8F">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评标方法</w:t>
            </w:r>
          </w:p>
        </w:tc>
        <w:tc>
          <w:tcPr>
            <w:tcW w:w="3782" w:type="pct"/>
            <w:vAlign w:val="center"/>
          </w:tcPr>
          <w:p w14:paraId="2DF1A7FC">
            <w:pPr>
              <w:snapToGrid w:val="0"/>
              <w:spacing w:line="320" w:lineRule="exact"/>
              <w:ind w:firstLine="404" w:firstLineChars="200"/>
              <w:rPr>
                <w:rFonts w:hint="eastAsia" w:ascii="宋体" w:hAnsi="宋体"/>
                <w:spacing w:val="-4"/>
                <w:sz w:val="21"/>
                <w:szCs w:val="21"/>
                <w:highlight w:val="none"/>
                <w:lang w:eastAsia="zh-CN"/>
              </w:rPr>
            </w:pPr>
            <w:r>
              <w:rPr>
                <w:rFonts w:hint="eastAsia" w:ascii="宋体" w:hAnsi="宋体"/>
                <w:spacing w:val="-4"/>
                <w:sz w:val="21"/>
                <w:szCs w:val="21"/>
                <w:highlight w:val="none"/>
                <w:lang w:eastAsia="zh-CN"/>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2AC646D0">
            <w:pPr>
              <w:snapToGrid w:val="0"/>
              <w:spacing w:line="320" w:lineRule="exact"/>
              <w:ind w:left="176" w:leftChars="97" w:hanging="1"/>
              <w:rPr>
                <w:rFonts w:hint="eastAsia" w:ascii="宋体" w:hAnsi="宋体"/>
                <w:spacing w:val="-4"/>
                <w:sz w:val="21"/>
                <w:szCs w:val="21"/>
                <w:highlight w:val="none"/>
                <w:lang w:eastAsia="zh-CN"/>
              </w:rPr>
            </w:pPr>
            <w:r>
              <w:rPr>
                <w:rFonts w:hint="eastAsia" w:ascii="宋体" w:hAnsi="宋体"/>
                <w:spacing w:val="-4"/>
                <w:sz w:val="21"/>
                <w:szCs w:val="21"/>
                <w:highlight w:val="none"/>
                <w:lang w:eastAsia="zh-CN"/>
              </w:rPr>
              <w:t>（1）评标价低的投标人优先；</w:t>
            </w:r>
          </w:p>
          <w:p w14:paraId="1397725B">
            <w:pPr>
              <w:snapToGrid w:val="0"/>
              <w:spacing w:line="320" w:lineRule="exact"/>
              <w:ind w:left="176" w:leftChars="97" w:hanging="1"/>
              <w:rPr>
                <w:rFonts w:hint="eastAsia" w:ascii="宋体" w:hAnsi="宋体"/>
                <w:spacing w:val="-4"/>
                <w:sz w:val="21"/>
                <w:szCs w:val="21"/>
                <w:highlight w:val="none"/>
                <w:lang w:eastAsia="zh-CN"/>
              </w:rPr>
            </w:pPr>
            <w:r>
              <w:rPr>
                <w:rFonts w:hint="eastAsia" w:ascii="宋体" w:hAnsi="宋体"/>
                <w:spacing w:val="-4"/>
                <w:sz w:val="21"/>
                <w:szCs w:val="21"/>
                <w:highlight w:val="none"/>
                <w:lang w:eastAsia="zh-CN"/>
              </w:rPr>
              <w:t>（2）实施方案得分较高的投标人优先；</w:t>
            </w:r>
          </w:p>
          <w:p w14:paraId="340AC9E7">
            <w:pPr>
              <w:snapToGrid w:val="0"/>
              <w:spacing w:line="320" w:lineRule="exact"/>
              <w:ind w:firstLine="202" w:firstLineChars="100"/>
              <w:rPr>
                <w:rFonts w:hint="eastAsia" w:ascii="宋体" w:hAnsi="宋体"/>
                <w:spacing w:val="-4"/>
                <w:sz w:val="21"/>
                <w:szCs w:val="21"/>
                <w:highlight w:val="none"/>
                <w:lang w:eastAsia="zh-CN"/>
              </w:rPr>
            </w:pPr>
            <w:r>
              <w:rPr>
                <w:rFonts w:hint="eastAsia" w:ascii="宋体" w:hAnsi="宋体"/>
                <w:spacing w:val="-4"/>
                <w:sz w:val="21"/>
                <w:szCs w:val="21"/>
                <w:highlight w:val="none"/>
                <w:lang w:eastAsia="zh-CN"/>
              </w:rPr>
              <w:t>（3）投标人满足资格审查条件（业绩最低条件）要求的业绩金额累计较高的优先。</w:t>
            </w:r>
          </w:p>
          <w:p w14:paraId="19BBDE0F">
            <w:pPr>
              <w:snapToGrid w:val="0"/>
              <w:spacing w:line="320" w:lineRule="exact"/>
              <w:ind w:firstLine="202" w:firstLineChars="100"/>
              <w:rPr>
                <w:rFonts w:hint="default" w:ascii="宋体" w:hAnsi="宋体" w:eastAsia="宋体"/>
                <w:spacing w:val="-4"/>
                <w:sz w:val="21"/>
                <w:szCs w:val="21"/>
                <w:highlight w:val="none"/>
                <w:lang w:val="en-US" w:eastAsia="zh-CN"/>
              </w:rPr>
            </w:pPr>
            <w:r>
              <w:rPr>
                <w:rFonts w:hint="eastAsia" w:ascii="宋体" w:hAnsi="宋体"/>
                <w:spacing w:val="-4"/>
                <w:sz w:val="21"/>
                <w:szCs w:val="21"/>
                <w:highlight w:val="none"/>
                <w:lang w:val="en-US" w:eastAsia="zh-CN"/>
              </w:rPr>
              <w:t>评标委员会按照1标段、2标段的顺序进行评审，如投标人同时在1标段和2标段排名第一，只推荐为1标段第一中标候选人，2标段不再推荐其为中标候选人。</w:t>
            </w:r>
          </w:p>
        </w:tc>
      </w:tr>
      <w:tr w14:paraId="185C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trPr>
        <w:tc>
          <w:tcPr>
            <w:tcW w:w="424" w:type="pct"/>
            <w:vAlign w:val="center"/>
          </w:tcPr>
          <w:p w14:paraId="4E0391C6">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2.1.1</w:t>
            </w:r>
          </w:p>
          <w:p w14:paraId="79FC2F9E">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2.1.3</w:t>
            </w:r>
          </w:p>
        </w:tc>
        <w:tc>
          <w:tcPr>
            <w:tcW w:w="785" w:type="pct"/>
            <w:vAlign w:val="center"/>
          </w:tcPr>
          <w:p w14:paraId="5ABBC6AB">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形式评审与响应性评审标准</w:t>
            </w:r>
          </w:p>
        </w:tc>
        <w:tc>
          <w:tcPr>
            <w:tcW w:w="3782" w:type="pct"/>
          </w:tcPr>
          <w:p w14:paraId="70C17B24">
            <w:pPr>
              <w:tabs>
                <w:tab w:val="left" w:pos="3060"/>
              </w:tabs>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第一个信封（商务文件）评审标准：</w:t>
            </w:r>
          </w:p>
          <w:p w14:paraId="499DF8EE">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（1）投标文件按照招标文件规定的格式、内容填写，字迹清晰可辨：</w:t>
            </w:r>
          </w:p>
          <w:p w14:paraId="4C63AF2E">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a.投标函按招标文件规定填报了项目名称、标段号、补遗书编号（如有）、</w:t>
            </w:r>
            <w:r>
              <w:rPr>
                <w:rFonts w:hint="eastAsia" w:ascii="宋体" w:hAnsi="宋体"/>
                <w:sz w:val="21"/>
                <w:szCs w:val="21"/>
                <w:highlight w:val="none"/>
                <w:lang w:eastAsia="zh-CN"/>
              </w:rPr>
              <w:t>项目负责人、</w:t>
            </w:r>
            <w:r>
              <w:rPr>
                <w:rFonts w:hint="eastAsia" w:ascii="宋体" w:hAnsi="宋体"/>
                <w:sz w:val="21"/>
                <w:szCs w:val="21"/>
                <w:highlight w:val="none"/>
                <w:lang w:val="en-US" w:eastAsia="zh-CN"/>
              </w:rPr>
              <w:t>技术负责人</w:t>
            </w:r>
            <w:r>
              <w:rPr>
                <w:rFonts w:hint="eastAsia" w:ascii="宋体" w:hAnsi="宋体"/>
                <w:bCs/>
                <w:sz w:val="21"/>
                <w:szCs w:val="21"/>
                <w:highlight w:val="none"/>
                <w:lang w:eastAsia="zh-CN"/>
              </w:rPr>
              <w:t>、服务期限、质量要求、安全目标；</w:t>
            </w:r>
          </w:p>
          <w:p w14:paraId="2744670E">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b.投标文件组成齐全完整，内容均按规定填写。</w:t>
            </w:r>
          </w:p>
          <w:p w14:paraId="06325AC8">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（2）投标文件上法定代表人或其授权代理人的签字、投标人的单位章盖章齐全，符合招标文件规定。</w:t>
            </w:r>
          </w:p>
          <w:p w14:paraId="54D16433">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（3）投标人按照招标文件的规定提供了投标保证金，并符合投标人须知前附表3.4.1项的相关规定。</w:t>
            </w:r>
          </w:p>
          <w:p w14:paraId="7FFDE58B">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（4）投标人法定代表人授权委托代理人签署投标文件的，须提交授权委托书，授权委托书的签字盖章符合招标文件规定。</w:t>
            </w:r>
          </w:p>
          <w:p w14:paraId="4A5C10B6">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（5）投标人法定代表人亲自签署投标文件的，提供了法定代表人身份证明，并符合招标文件的规定。</w:t>
            </w:r>
          </w:p>
          <w:p w14:paraId="48FA02D7">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（6）投标人未以联合体形式投标。</w:t>
            </w:r>
          </w:p>
          <w:p w14:paraId="3A4BBB16">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（7）投标人未对本项目进行分包。</w:t>
            </w:r>
          </w:p>
          <w:p w14:paraId="065511B0">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（8）</w:t>
            </w:r>
            <w:r>
              <w:rPr>
                <w:rFonts w:hint="eastAsia" w:ascii="宋体" w:hAnsi="宋体"/>
                <w:color w:val="000000"/>
                <w:sz w:val="21"/>
                <w:szCs w:val="21"/>
                <w:highlight w:val="none"/>
                <w:lang w:eastAsia="zh-CN"/>
              </w:rPr>
              <w:t>同一投标人同一标段未提交两个以上不同的投标文件。</w:t>
            </w:r>
          </w:p>
          <w:p w14:paraId="0894467C">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（9）投标文件第一信封中未出现有关投标报价的内容。</w:t>
            </w:r>
          </w:p>
          <w:p w14:paraId="3B60C9B4">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（10）投标文件载明的招标项目完成期限符合招标文件规定。</w:t>
            </w:r>
          </w:p>
          <w:p w14:paraId="0B26E33F">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（11）递交的投标文件与所投标段一致，。</w:t>
            </w:r>
          </w:p>
          <w:p w14:paraId="6DE8AE18">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（12）投标文件对招标文件的实质性要求和条件作出响应。</w:t>
            </w:r>
          </w:p>
          <w:p w14:paraId="126BB021">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（13）权利义务符合招标文件规定：</w:t>
            </w:r>
          </w:p>
          <w:p w14:paraId="48509A8F">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a.投标人应接受招标文件规定的风险划分原则，未提出新的风险划分办法；</w:t>
            </w:r>
          </w:p>
          <w:p w14:paraId="57463F1B">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b.投标人未增加发包人的责任范围，或减少投标人义务；</w:t>
            </w:r>
          </w:p>
          <w:p w14:paraId="3CEFE2DF">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c.投标人未提出不同的支付办法；</w:t>
            </w:r>
          </w:p>
          <w:p w14:paraId="59DF6CB6">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d.投标人对合同纠纷、事故处理办法未提出异议；</w:t>
            </w:r>
          </w:p>
          <w:p w14:paraId="6B5A6AF1">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e.投标人在投标活动中无欺诈行为；</w:t>
            </w:r>
          </w:p>
          <w:p w14:paraId="06C57DD0">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f.投标人未对合同条款有重要保留。</w:t>
            </w:r>
          </w:p>
          <w:p w14:paraId="61785B85">
            <w:pPr>
              <w:pStyle w:val="12"/>
              <w:snapToGrid w:val="0"/>
              <w:spacing w:line="320" w:lineRule="exact"/>
              <w:ind w:firstLine="210" w:firstLineChars="1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（14）投标人不存在投标人须知前附表4.4(1)、(3)项规定的情形。</w:t>
            </w:r>
          </w:p>
          <w:p w14:paraId="615BD7AE">
            <w:pPr>
              <w:pStyle w:val="12"/>
              <w:snapToGrid w:val="0"/>
              <w:spacing w:line="320" w:lineRule="exact"/>
              <w:ind w:firstLine="210" w:firstLineChars="1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（15）投标人不存在因投标人须知前附表4.4(2)项规定的情形被评标委员会认定为投标文件异常一致或投标活动异常关联活动情形。</w:t>
            </w:r>
          </w:p>
          <w:p w14:paraId="1B6E0A4D">
            <w:pPr>
              <w:tabs>
                <w:tab w:val="left" w:pos="3060"/>
              </w:tabs>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第一个信封（技术文件）评审标准（暗标）：</w:t>
            </w:r>
          </w:p>
          <w:p w14:paraId="678DE883">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（1）实施方案（暗标）编制符合招标文件第二章“投标人须知前附表”第10.3款的规定。</w:t>
            </w:r>
          </w:p>
          <w:p w14:paraId="4A1DE0CD">
            <w:pPr>
              <w:tabs>
                <w:tab w:val="left" w:pos="3060"/>
              </w:tabs>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第二个信封（报价文件）评审标准：</w:t>
            </w:r>
          </w:p>
          <w:p w14:paraId="7745F1EF">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（1）投标文件按照招标文件规定的格式、内容填写，字迹清晰可辨，内容齐全完整。</w:t>
            </w:r>
          </w:p>
          <w:p w14:paraId="515F5961">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a.投标函按招标文件规定填报了项目名称、标段号、补遗书编号（如有）、投标报价（包括大写金额和小写金额）；</w:t>
            </w:r>
          </w:p>
          <w:p w14:paraId="51F4CC4F">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b.报价清单说明文字与招标文件规定一致，未进行实质性修改和删减；</w:t>
            </w:r>
          </w:p>
          <w:p w14:paraId="374EC605">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c．投标文件组成齐全完整，内容均按规定填写。</w:t>
            </w:r>
          </w:p>
          <w:p w14:paraId="640F870E">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（2）投标文件上法定代表人或其授权代理人的签字、投标人的单位章盖章齐全，符合招标文件规定。</w:t>
            </w:r>
          </w:p>
          <w:p w14:paraId="42BD0ABD">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（3）</w:t>
            </w:r>
            <w:r>
              <w:rPr>
                <w:rFonts w:hint="eastAsia" w:ascii="宋体" w:hAnsi="宋体"/>
                <w:color w:val="000000" w:themeColor="text1"/>
                <w:sz w:val="21"/>
                <w:szCs w:val="21"/>
                <w:highlight w:val="none"/>
                <w:lang w:eastAsia="zh-CN"/>
                <w14:textFill>
                  <w14:solidFill>
                    <w14:schemeClr w14:val="tx1"/>
                  </w14:solidFill>
                </w14:textFill>
              </w:rPr>
              <w:t>投标报价未超过招标文件设定的最高投标限价</w:t>
            </w:r>
            <w:r>
              <w:rPr>
                <w:rFonts w:hint="eastAsia" w:ascii="宋体" w:hAnsi="宋体"/>
                <w:bCs/>
                <w:sz w:val="21"/>
                <w:szCs w:val="21"/>
                <w:highlight w:val="none"/>
                <w:lang w:eastAsia="zh-CN"/>
              </w:rPr>
              <w:t>。</w:t>
            </w:r>
          </w:p>
          <w:p w14:paraId="6951C8A7">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（4）投标报价大写金额能够确定具体数值。</w:t>
            </w:r>
          </w:p>
          <w:p w14:paraId="018BA043">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（5）同一投标人同一标段未提交两个以上不同的投标报价。。</w:t>
            </w:r>
          </w:p>
          <w:p w14:paraId="648FEBE6">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（6）报价清单表中投标报价与投标函中投标报价大写金额一致。</w:t>
            </w:r>
          </w:p>
          <w:p w14:paraId="0059D44A">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（7）递交的投标文件与所投标段一致。</w:t>
            </w:r>
          </w:p>
          <w:p w14:paraId="1131D1E2">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（8）投标人不存在投标人须知前附表4.4(1)、(3)项规定的情形。</w:t>
            </w:r>
          </w:p>
          <w:p w14:paraId="3F4D8B04">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（9）</w:t>
            </w:r>
            <w:r>
              <w:rPr>
                <w:rFonts w:hint="eastAsia" w:ascii="宋体" w:hAnsi="宋体" w:eastAsia="宋体" w:cs="宋体"/>
                <w:sz w:val="21"/>
                <w:szCs w:val="21"/>
                <w:highlight w:val="none"/>
                <w:lang w:eastAsia="zh-CN"/>
              </w:rPr>
              <w:t>投标人不存在因投标人须知前附表4.4(2)项规定的情形被评标委员会认定为投标文件异常一致或投标活动异常关联活动情形</w:t>
            </w:r>
            <w:r>
              <w:rPr>
                <w:rFonts w:hint="eastAsia" w:ascii="宋体" w:hAnsi="宋体"/>
                <w:bCs/>
                <w:sz w:val="21"/>
                <w:szCs w:val="21"/>
                <w:highlight w:val="none"/>
                <w:lang w:eastAsia="zh-CN"/>
              </w:rPr>
              <w:t>。</w:t>
            </w:r>
          </w:p>
          <w:p w14:paraId="1CDAFE57">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（10）投标人不存在因投标人须知前附表3.2.5项规定被评标委员会认定为低于成本或影响履约的异常低价竞标的情形。</w:t>
            </w:r>
          </w:p>
        </w:tc>
      </w:tr>
      <w:tr w14:paraId="466A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2808" w:hRule="atLeast"/>
        </w:trPr>
        <w:tc>
          <w:tcPr>
            <w:tcW w:w="424" w:type="pct"/>
            <w:vAlign w:val="center"/>
          </w:tcPr>
          <w:p w14:paraId="1E4ADEA8">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2.1.2</w:t>
            </w:r>
          </w:p>
        </w:tc>
        <w:tc>
          <w:tcPr>
            <w:tcW w:w="785" w:type="pct"/>
            <w:vAlign w:val="center"/>
          </w:tcPr>
          <w:p w14:paraId="394C8622">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资格评审标准</w:t>
            </w:r>
          </w:p>
        </w:tc>
        <w:tc>
          <w:tcPr>
            <w:tcW w:w="3782" w:type="pct"/>
          </w:tcPr>
          <w:p w14:paraId="47C29B8B">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（1）投标人具备有效的营业执照副本、基本账户开户许可证（或基本存款账户信息）；</w:t>
            </w:r>
          </w:p>
          <w:p w14:paraId="0FD6117E">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（2）投标人的资质符合招标文件规定；</w:t>
            </w:r>
          </w:p>
          <w:p w14:paraId="2269DB21">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（3）投标人的业绩符合招标文件规定；</w:t>
            </w:r>
          </w:p>
          <w:p w14:paraId="520837FC">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（4）投标人的信誉符合招标文件规定；</w:t>
            </w:r>
          </w:p>
          <w:p w14:paraId="2058A4D4">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（5）投标人的项目负责人</w:t>
            </w:r>
            <w:r>
              <w:rPr>
                <w:rFonts w:hint="eastAsia" w:ascii="宋体" w:hAnsi="宋体"/>
                <w:sz w:val="21"/>
                <w:szCs w:val="21"/>
                <w:highlight w:val="none"/>
                <w:lang w:val="en-US" w:eastAsia="zh-CN"/>
              </w:rPr>
              <w:t>和技术负责人</w:t>
            </w:r>
            <w:r>
              <w:rPr>
                <w:rFonts w:hint="eastAsia" w:ascii="宋体" w:hAnsi="宋体"/>
                <w:sz w:val="21"/>
                <w:szCs w:val="21"/>
                <w:highlight w:val="none"/>
                <w:lang w:eastAsia="zh-CN"/>
              </w:rPr>
              <w:t>资格符合招标文件规定；</w:t>
            </w:r>
          </w:p>
          <w:p w14:paraId="03B80A2C">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（6）投标人不存在第二章“投标人须知”1.4.3项或第1.4.4项规定的任何一种情形。</w:t>
            </w:r>
          </w:p>
        </w:tc>
      </w:tr>
      <w:tr w14:paraId="3CCC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Pr>
        <w:tc>
          <w:tcPr>
            <w:tcW w:w="424" w:type="pct"/>
            <w:vAlign w:val="center"/>
          </w:tcPr>
          <w:p w14:paraId="100A8F32">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2.2.1</w:t>
            </w:r>
          </w:p>
        </w:tc>
        <w:tc>
          <w:tcPr>
            <w:tcW w:w="785" w:type="pct"/>
            <w:vAlign w:val="center"/>
          </w:tcPr>
          <w:p w14:paraId="002433C8">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分值构成（总分100分）</w:t>
            </w:r>
          </w:p>
        </w:tc>
        <w:tc>
          <w:tcPr>
            <w:tcW w:w="3782" w:type="pct"/>
            <w:vAlign w:val="center"/>
          </w:tcPr>
          <w:p w14:paraId="2EDC2DB5">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第一个信封（商务及技术文件）评分分值构成：</w:t>
            </w:r>
          </w:p>
          <w:p w14:paraId="4FD25630">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实施方案：</w:t>
            </w:r>
            <w:r>
              <w:rPr>
                <w:rFonts w:hint="eastAsia" w:ascii="宋体" w:hAnsi="宋体"/>
                <w:b/>
                <w:sz w:val="21"/>
                <w:szCs w:val="21"/>
                <w:highlight w:val="none"/>
                <w:u w:val="single"/>
                <w:lang w:eastAsia="zh-CN"/>
              </w:rPr>
              <w:t>40</w:t>
            </w:r>
            <w:r>
              <w:rPr>
                <w:rFonts w:hint="eastAsia" w:ascii="宋体" w:hAnsi="宋体"/>
                <w:b/>
                <w:sz w:val="21"/>
                <w:szCs w:val="21"/>
                <w:highlight w:val="none"/>
                <w:lang w:eastAsia="zh-CN"/>
              </w:rPr>
              <w:t>分（</w:t>
            </w:r>
            <w:r>
              <w:rPr>
                <w:rFonts w:hint="eastAsia" w:ascii="宋体" w:hAnsi="宋体"/>
                <w:b/>
                <w:sz w:val="21"/>
                <w:szCs w:val="21"/>
                <w:highlight w:val="none"/>
                <w:lang w:val="en-US" w:eastAsia="zh-CN"/>
              </w:rPr>
              <w:t>暗标）</w:t>
            </w:r>
          </w:p>
          <w:p w14:paraId="53415CAF">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主要人员：</w:t>
            </w:r>
            <w:r>
              <w:rPr>
                <w:rFonts w:hint="eastAsia" w:ascii="宋体" w:hAnsi="宋体"/>
                <w:b/>
                <w:sz w:val="21"/>
                <w:szCs w:val="21"/>
                <w:highlight w:val="none"/>
                <w:u w:val="single"/>
                <w:lang w:eastAsia="zh-CN"/>
              </w:rPr>
              <w:t>10</w:t>
            </w:r>
            <w:r>
              <w:rPr>
                <w:rFonts w:hint="eastAsia" w:ascii="宋体" w:hAnsi="宋体"/>
                <w:b/>
                <w:sz w:val="21"/>
                <w:szCs w:val="21"/>
                <w:highlight w:val="none"/>
                <w:lang w:eastAsia="zh-CN"/>
              </w:rPr>
              <w:t>分</w:t>
            </w:r>
          </w:p>
          <w:p w14:paraId="0D8D78F9">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其他因素：</w:t>
            </w:r>
            <w:r>
              <w:rPr>
                <w:rFonts w:hint="eastAsia" w:ascii="宋体" w:hAnsi="宋体"/>
                <w:b/>
                <w:sz w:val="21"/>
                <w:szCs w:val="21"/>
                <w:highlight w:val="none"/>
                <w:u w:val="single"/>
                <w:lang w:eastAsia="zh-CN"/>
              </w:rPr>
              <w:t>20</w:t>
            </w:r>
            <w:r>
              <w:rPr>
                <w:rFonts w:hint="eastAsia" w:ascii="宋体" w:hAnsi="宋体"/>
                <w:b/>
                <w:sz w:val="21"/>
                <w:szCs w:val="21"/>
                <w:highlight w:val="none"/>
                <w:lang w:eastAsia="zh-CN"/>
              </w:rPr>
              <w:t>分</w:t>
            </w:r>
          </w:p>
          <w:p w14:paraId="0766A24E">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第二个信封（报价文件）评分分值构成：</w:t>
            </w:r>
          </w:p>
          <w:p w14:paraId="1B4EE5A5">
            <w:pPr>
              <w:snapToGrid w:val="0"/>
              <w:spacing w:line="320" w:lineRule="exact"/>
              <w:rPr>
                <w:rFonts w:hint="eastAsia" w:ascii="宋体" w:hAnsi="宋体"/>
                <w:b/>
                <w:sz w:val="21"/>
                <w:szCs w:val="21"/>
                <w:highlight w:val="none"/>
              </w:rPr>
            </w:pPr>
            <w:r>
              <w:rPr>
                <w:rFonts w:hint="eastAsia" w:ascii="宋体" w:hAnsi="宋体"/>
                <w:b/>
                <w:sz w:val="21"/>
                <w:szCs w:val="21"/>
                <w:highlight w:val="none"/>
                <w:lang w:eastAsia="zh-CN"/>
              </w:rPr>
              <w:t>评标价：</w:t>
            </w:r>
            <w:r>
              <w:rPr>
                <w:rFonts w:hint="eastAsia" w:ascii="宋体" w:hAnsi="宋体"/>
                <w:b/>
                <w:sz w:val="21"/>
                <w:szCs w:val="21"/>
                <w:highlight w:val="none"/>
                <w:u w:val="single"/>
                <w:lang w:eastAsia="zh-CN"/>
              </w:rPr>
              <w:t>30</w:t>
            </w:r>
            <w:r>
              <w:rPr>
                <w:rFonts w:hint="eastAsia" w:ascii="宋体" w:hAnsi="宋体"/>
                <w:b/>
                <w:sz w:val="21"/>
                <w:szCs w:val="21"/>
                <w:highlight w:val="none"/>
                <w:lang w:eastAsia="zh-CN"/>
              </w:rPr>
              <w:t>分</w:t>
            </w:r>
          </w:p>
        </w:tc>
      </w:tr>
      <w:tr w14:paraId="0C55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1027" w:hRule="atLeast"/>
        </w:trPr>
        <w:tc>
          <w:tcPr>
            <w:tcW w:w="424" w:type="pct"/>
            <w:vAlign w:val="center"/>
          </w:tcPr>
          <w:p w14:paraId="119E3845">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2.2.2</w:t>
            </w:r>
          </w:p>
        </w:tc>
        <w:tc>
          <w:tcPr>
            <w:tcW w:w="785" w:type="pct"/>
            <w:vAlign w:val="center"/>
          </w:tcPr>
          <w:p w14:paraId="7DE166E2">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评标基准价计算方法</w:t>
            </w:r>
          </w:p>
        </w:tc>
        <w:tc>
          <w:tcPr>
            <w:tcW w:w="3782" w:type="pct"/>
            <w:vAlign w:val="center"/>
          </w:tcPr>
          <w:p w14:paraId="4B34F8AB">
            <w:pPr>
              <w:snapToGrid w:val="0"/>
              <w:spacing w:line="320" w:lineRule="exact"/>
              <w:ind w:right="113"/>
              <w:rPr>
                <w:rFonts w:hint="eastAsia" w:ascii="宋体" w:hAnsi="宋体"/>
                <w:sz w:val="21"/>
                <w:szCs w:val="21"/>
                <w:highlight w:val="none"/>
                <w:lang w:eastAsia="zh-CN"/>
              </w:rPr>
            </w:pPr>
            <w:r>
              <w:rPr>
                <w:rFonts w:hint="eastAsia" w:ascii="宋体" w:hAnsi="宋体"/>
                <w:b/>
                <w:bCs/>
                <w:sz w:val="21"/>
                <w:szCs w:val="21"/>
                <w:highlight w:val="none"/>
                <w:lang w:eastAsia="zh-CN"/>
              </w:rPr>
              <w:t>评标基准价的计算</w:t>
            </w:r>
            <w:r>
              <w:rPr>
                <w:rFonts w:hint="eastAsia" w:ascii="宋体" w:hAnsi="宋体"/>
                <w:sz w:val="21"/>
                <w:szCs w:val="21"/>
                <w:highlight w:val="none"/>
                <w:lang w:eastAsia="zh-CN"/>
              </w:rPr>
              <w:t>：</w:t>
            </w:r>
          </w:p>
          <w:p w14:paraId="4A3488AB">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在第二个信封开标现场，招标人当场计算并宣布评标基准价。</w:t>
            </w:r>
          </w:p>
          <w:p w14:paraId="5C6BEC13">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(1)评标价的确定：</w:t>
            </w:r>
          </w:p>
          <w:p w14:paraId="334C7A95">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评标价=投标函文字报价</w:t>
            </w:r>
          </w:p>
          <w:p w14:paraId="18076C44">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(2)评标价平均值的计算：</w:t>
            </w:r>
          </w:p>
          <w:p w14:paraId="6FD120C7">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44E35559">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(3)评标基准价的确定：</w:t>
            </w:r>
          </w:p>
          <w:p w14:paraId="604E1644">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评标价平均值直接作为评标基准价（评标基准价保留小数点后两位，小数点后第三位四舍五入）。</w:t>
            </w:r>
          </w:p>
          <w:p w14:paraId="2EB90DDD">
            <w:pPr>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2EC5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Pr>
        <w:tc>
          <w:tcPr>
            <w:tcW w:w="424" w:type="pct"/>
            <w:vAlign w:val="center"/>
          </w:tcPr>
          <w:p w14:paraId="4CA73F3F">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2.2.3</w:t>
            </w:r>
          </w:p>
        </w:tc>
        <w:tc>
          <w:tcPr>
            <w:tcW w:w="785" w:type="pct"/>
            <w:vAlign w:val="center"/>
          </w:tcPr>
          <w:p w14:paraId="47323CB6">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评标价的偏差率计算公式</w:t>
            </w:r>
          </w:p>
        </w:tc>
        <w:tc>
          <w:tcPr>
            <w:tcW w:w="3782" w:type="pct"/>
            <w:vAlign w:val="center"/>
          </w:tcPr>
          <w:p w14:paraId="6D4FF060">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w:t>
            </w:r>
          </w:p>
        </w:tc>
      </w:tr>
      <w:tr w14:paraId="7F0A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1728" w:hRule="atLeast"/>
        </w:trPr>
        <w:tc>
          <w:tcPr>
            <w:tcW w:w="424" w:type="pct"/>
            <w:vAlign w:val="center"/>
          </w:tcPr>
          <w:p w14:paraId="69CE18DC">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3.5.3</w:t>
            </w:r>
          </w:p>
        </w:tc>
        <w:tc>
          <w:tcPr>
            <w:tcW w:w="785" w:type="pct"/>
            <w:vAlign w:val="center"/>
          </w:tcPr>
          <w:p w14:paraId="229C9B39">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异常低价</w:t>
            </w:r>
          </w:p>
        </w:tc>
        <w:tc>
          <w:tcPr>
            <w:tcW w:w="3782" w:type="pct"/>
            <w:vAlign w:val="center"/>
          </w:tcPr>
          <w:p w14:paraId="00227941">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7A4DB1D1">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投标人存在投标人须知前附表3.2.5项情形的，评标委员会应当</w:t>
            </w:r>
            <w:r>
              <w:rPr>
                <w:rFonts w:hint="eastAsia" w:ascii="宋体" w:hAnsi="宋体"/>
                <w:sz w:val="21"/>
                <w:szCs w:val="21"/>
                <w:highlight w:val="none"/>
                <w:lang w:val="en-US" w:eastAsia="zh-CN"/>
              </w:rPr>
              <w:t>要求</w:t>
            </w:r>
            <w:r>
              <w:rPr>
                <w:rFonts w:hint="eastAsia" w:ascii="宋体" w:hAnsi="宋体"/>
                <w:sz w:val="21"/>
                <w:szCs w:val="21"/>
                <w:highlight w:val="none"/>
                <w:lang w:eastAsia="zh-CN"/>
              </w:rPr>
              <w:t>投标人作出书面说明并提供相应的证明材料。投标人不能合理说明或者不能提供相应证明材料的，评标委员会应当认定该投标人以低于成本或影响履约的异常低价竞标，否决其投标。</w:t>
            </w:r>
          </w:p>
        </w:tc>
      </w:tr>
      <w:tr w14:paraId="7DDA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793" w:hRule="atLeast"/>
        </w:trPr>
        <w:tc>
          <w:tcPr>
            <w:tcW w:w="768" w:type="dxa"/>
            <w:vAlign w:val="center"/>
          </w:tcPr>
          <w:p w14:paraId="47D8009D">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3.6.1</w:t>
            </w:r>
          </w:p>
        </w:tc>
        <w:tc>
          <w:tcPr>
            <w:tcW w:w="1422" w:type="dxa"/>
            <w:vAlign w:val="center"/>
          </w:tcPr>
          <w:p w14:paraId="0D2C80AE">
            <w:pPr>
              <w:adjustRightInd w:val="0"/>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信息</w:t>
            </w:r>
          </w:p>
          <w:p w14:paraId="5A8EB172">
            <w:pPr>
              <w:adjustRightInd w:val="0"/>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查询</w:t>
            </w:r>
          </w:p>
        </w:tc>
        <w:tc>
          <w:tcPr>
            <w:tcW w:w="6853" w:type="dxa"/>
            <w:vAlign w:val="center"/>
          </w:tcPr>
          <w:p w14:paraId="7FCE5B63">
            <w:pPr>
              <w:autoSpaceDE w:val="0"/>
              <w:autoSpaceDN w:val="0"/>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0C37E65B">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在评标过程中，评标委员会应对以下信息进行查询：</w:t>
            </w:r>
          </w:p>
          <w:p w14:paraId="6595ACF0">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1）投标人信用情况网页截图内容与在“国家企业信用信息公示系统”中严重违法失信名单（黑名单）（不含分公司）或在“信用中国”网站中经营（活动）异常名录、重大税收违法失信主体名单、政府采购严重违法失信行为记录名单（</w:t>
            </w:r>
            <w:r>
              <w:rPr>
                <w:rFonts w:hint="eastAsia" w:ascii="宋体" w:hAnsi="宋体"/>
                <w:sz w:val="21"/>
                <w:szCs w:val="21"/>
                <w:highlight w:val="none"/>
                <w:lang w:val="en-US" w:eastAsia="zh-CN"/>
              </w:rPr>
              <w:t>均</w:t>
            </w:r>
            <w:r>
              <w:rPr>
                <w:rFonts w:hint="eastAsia" w:ascii="宋体" w:hAnsi="宋体"/>
                <w:sz w:val="21"/>
                <w:szCs w:val="21"/>
                <w:highlight w:val="none"/>
                <w:lang w:eastAsia="zh-CN"/>
              </w:rPr>
              <w:t>不含分公司）</w:t>
            </w:r>
            <w:r>
              <w:rPr>
                <w:rFonts w:hint="eastAsia" w:ascii="宋体" w:hAnsi="宋体"/>
                <w:sz w:val="21"/>
                <w:szCs w:val="21"/>
                <w:highlight w:val="none"/>
                <w:lang w:val="en-US" w:eastAsia="zh-CN"/>
              </w:rPr>
              <w:t>或“</w:t>
            </w:r>
            <w:r>
              <w:rPr>
                <w:rFonts w:hint="eastAsia" w:ascii="宋体" w:hAnsi="宋体"/>
                <w:sz w:val="21"/>
                <w:szCs w:val="21"/>
                <w:highlight w:val="none"/>
                <w:lang w:eastAsia="zh-CN"/>
              </w:rPr>
              <w:t>中国执行信息公开网”中失信被执行人（不含分公司）的复核结果一致。如投标人未提供相关网页截图或所附截图与复核结果不一致导致不能满足资格评审要求的，评标委员会应否决其投标。</w:t>
            </w:r>
          </w:p>
          <w:p w14:paraId="1152D2DB">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1799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1605" w:hRule="atLeast"/>
        </w:trPr>
        <w:tc>
          <w:tcPr>
            <w:tcW w:w="779" w:type="dxa"/>
            <w:vAlign w:val="center"/>
          </w:tcPr>
          <w:p w14:paraId="457A84B5">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lang w:eastAsia="zh-CN"/>
              </w:rPr>
              <w:t>增加3.6.3</w:t>
            </w:r>
          </w:p>
        </w:tc>
        <w:tc>
          <w:tcPr>
            <w:tcW w:w="1444" w:type="dxa"/>
            <w:vAlign w:val="center"/>
          </w:tcPr>
          <w:p w14:paraId="0841F431">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投标人其他异常投标情形</w:t>
            </w:r>
          </w:p>
        </w:tc>
        <w:tc>
          <w:tcPr>
            <w:tcW w:w="6956" w:type="dxa"/>
            <w:vAlign w:val="center"/>
          </w:tcPr>
          <w:p w14:paraId="7598EE4A">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1.投标人不存在投标人须知前附表4.4（1）、（3）情形。</w:t>
            </w:r>
          </w:p>
          <w:p w14:paraId="497C2C9C">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2.投标人</w:t>
            </w:r>
            <w:r>
              <w:rPr>
                <w:rFonts w:hint="eastAsia" w:ascii="宋体" w:hAnsi="宋体"/>
                <w:color w:val="000000" w:themeColor="text1"/>
                <w:sz w:val="21"/>
                <w:szCs w:val="21"/>
                <w:highlight w:val="none"/>
                <w:lang w:eastAsia="zh-CN"/>
                <w14:textFill>
                  <w14:solidFill>
                    <w14:schemeClr w14:val="tx1"/>
                  </w14:solidFill>
                </w14:textFill>
              </w:rPr>
              <w:t>存在投标人须知前附表4.4（2）情形的，评标委员会应当</w:t>
            </w:r>
            <w:r>
              <w:rPr>
                <w:rFonts w:hint="eastAsia" w:ascii="宋体" w:hAnsi="宋体"/>
                <w:color w:val="000000" w:themeColor="text1"/>
                <w:sz w:val="21"/>
                <w:szCs w:val="21"/>
                <w:highlight w:val="none"/>
                <w:lang w:val="en-US" w:eastAsia="zh-CN"/>
                <w14:textFill>
                  <w14:solidFill>
                    <w14:schemeClr w14:val="tx1"/>
                  </w14:solidFill>
                </w14:textFill>
              </w:rPr>
              <w:t>要求</w:t>
            </w:r>
            <w:r>
              <w:rPr>
                <w:rFonts w:hint="eastAsia" w:ascii="宋体" w:hAnsi="宋体"/>
                <w:color w:val="000000" w:themeColor="text1"/>
                <w:sz w:val="21"/>
                <w:szCs w:val="21"/>
                <w:highlight w:val="none"/>
                <w:lang w:eastAsia="zh-CN"/>
                <w14:textFill>
                  <w14:solidFill>
                    <w14:schemeClr w14:val="tx1"/>
                  </w14:solidFill>
                </w14:textFill>
              </w:rPr>
              <w:t>投标人在规定时间内作出解释说明。评标委员会经核查</w:t>
            </w:r>
            <w:r>
              <w:rPr>
                <w:rFonts w:hint="eastAsia" w:ascii="宋体" w:hAnsi="宋体"/>
                <w:color w:val="000000" w:themeColor="text1"/>
                <w:sz w:val="21"/>
                <w:szCs w:val="21"/>
                <w:highlight w:val="none"/>
                <w:lang w:val="en-US" w:eastAsia="zh-CN"/>
                <w14:textFill>
                  <w14:solidFill>
                    <w14:schemeClr w14:val="tx1"/>
                  </w14:solidFill>
                </w14:textFill>
              </w:rPr>
              <w:t>确认属于</w:t>
            </w:r>
            <w:r>
              <w:rPr>
                <w:rFonts w:hint="eastAsia" w:ascii="宋体" w:hAnsi="宋体" w:cs="宋体"/>
                <w:color w:val="000000" w:themeColor="text1"/>
                <w:sz w:val="21"/>
                <w:szCs w:val="21"/>
                <w:highlight w:val="none"/>
                <w14:textFill>
                  <w14:solidFill>
                    <w14:schemeClr w14:val="tx1"/>
                  </w14:solidFill>
                </w14:textFill>
              </w:rPr>
              <w:t>投标文件异常一致或投标活动异常关联活动情形</w:t>
            </w:r>
            <w:r>
              <w:rPr>
                <w:rFonts w:hint="eastAsia" w:ascii="宋体" w:hAnsi="宋体"/>
                <w:color w:val="000000" w:themeColor="text1"/>
                <w:sz w:val="21"/>
                <w:szCs w:val="21"/>
                <w:highlight w:val="none"/>
                <w:lang w:eastAsia="zh-CN"/>
                <w14:textFill>
                  <w14:solidFill>
                    <w14:schemeClr w14:val="tx1"/>
                  </w14:solidFill>
                </w14:textFill>
              </w:rPr>
              <w:t>的，应否决其投标。</w:t>
            </w:r>
          </w:p>
        </w:tc>
      </w:tr>
      <w:tr w14:paraId="6557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6B097843">
            <w:pPr>
              <w:snapToGrid w:val="0"/>
              <w:spacing w:line="320" w:lineRule="exact"/>
              <w:ind w:right="113"/>
              <w:rPr>
                <w:rFonts w:hint="eastAsia" w:ascii="宋体" w:hAnsi="宋体"/>
                <w:bCs/>
                <w:sz w:val="21"/>
                <w:szCs w:val="21"/>
                <w:highlight w:val="none"/>
                <w:lang w:eastAsia="zh-CN"/>
              </w:rPr>
            </w:pPr>
            <w:r>
              <w:rPr>
                <w:rFonts w:hint="eastAsia" w:ascii="宋体" w:hAnsi="宋体"/>
                <w:sz w:val="21"/>
                <w:szCs w:val="21"/>
                <w:highlight w:val="none"/>
                <w:lang w:eastAsia="zh-CN"/>
              </w:rPr>
              <w:t>需要补充的其他内容：</w:t>
            </w:r>
            <w:r>
              <w:rPr>
                <w:rFonts w:hint="eastAsia" w:ascii="宋体" w:hAnsi="宋体"/>
                <w:bCs/>
                <w:sz w:val="21"/>
                <w:szCs w:val="21"/>
                <w:highlight w:val="none"/>
                <w:lang w:eastAsia="zh-CN"/>
              </w:rPr>
              <w:t>无</w:t>
            </w:r>
          </w:p>
        </w:tc>
      </w:tr>
    </w:tbl>
    <w:p w14:paraId="35F417B1">
      <w:pPr>
        <w:spacing w:before="46"/>
        <w:rPr>
          <w:highlight w:val="none"/>
          <w:lang w:eastAsia="zh-CN"/>
        </w:rPr>
      </w:pPr>
    </w:p>
    <w:p w14:paraId="5113C3D9">
      <w:pPr>
        <w:jc w:val="right"/>
        <w:rPr>
          <w:rFonts w:hint="eastAsia" w:ascii="宋体" w:hAnsi="宋体"/>
          <w:highlight w:val="none"/>
        </w:rPr>
      </w:pPr>
      <w:r>
        <w:rPr>
          <w:highlight w:val="none"/>
          <w:lang w:eastAsia="zh-CN"/>
        </w:rPr>
        <w:br w:type="page"/>
      </w:r>
      <w:r>
        <w:rPr>
          <w:rFonts w:hint="eastAsia" w:ascii="宋体" w:hAnsi="宋体"/>
          <w:highlight w:val="none"/>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972"/>
        <w:gridCol w:w="638"/>
        <w:gridCol w:w="1077"/>
        <w:gridCol w:w="675"/>
        <w:gridCol w:w="5549"/>
      </w:tblGrid>
      <w:tr w14:paraId="155D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103" w:type="dxa"/>
            <w:gridSpan w:val="5"/>
            <w:vAlign w:val="center"/>
          </w:tcPr>
          <w:p w14:paraId="7E4D4301">
            <w:pPr>
              <w:pStyle w:val="5"/>
              <w:snapToGrid w:val="0"/>
              <w:spacing w:line="320" w:lineRule="exact"/>
              <w:jc w:val="center"/>
              <w:rPr>
                <w:rFonts w:hint="eastAsia" w:hAnsi="宋体"/>
                <w:sz w:val="21"/>
                <w:szCs w:val="21"/>
                <w:highlight w:val="none"/>
              </w:rPr>
            </w:pPr>
            <w:r>
              <w:rPr>
                <w:rFonts w:hint="eastAsia" w:hAnsi="宋体"/>
                <w:sz w:val="21"/>
                <w:szCs w:val="21"/>
                <w:highlight w:val="none"/>
              </w:rPr>
              <w:t>评分因素与权重分值</w:t>
            </w:r>
          </w:p>
        </w:tc>
        <w:tc>
          <w:tcPr>
            <w:tcW w:w="5549" w:type="dxa"/>
            <w:vMerge w:val="restart"/>
            <w:vAlign w:val="center"/>
          </w:tcPr>
          <w:p w14:paraId="75108222">
            <w:pPr>
              <w:pStyle w:val="5"/>
              <w:snapToGrid w:val="0"/>
              <w:spacing w:line="320" w:lineRule="exact"/>
              <w:jc w:val="center"/>
              <w:rPr>
                <w:rFonts w:hint="eastAsia" w:hAnsi="宋体"/>
                <w:sz w:val="21"/>
                <w:szCs w:val="21"/>
                <w:highlight w:val="none"/>
              </w:rPr>
            </w:pPr>
            <w:r>
              <w:rPr>
                <w:rFonts w:hint="eastAsia" w:hAnsi="宋体"/>
                <w:sz w:val="21"/>
                <w:szCs w:val="21"/>
                <w:highlight w:val="none"/>
              </w:rPr>
              <w:t>评分标准</w:t>
            </w:r>
          </w:p>
        </w:tc>
      </w:tr>
      <w:tr w14:paraId="76FC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vAlign w:val="center"/>
          </w:tcPr>
          <w:p w14:paraId="37716C21">
            <w:pPr>
              <w:pStyle w:val="5"/>
              <w:snapToGrid w:val="0"/>
              <w:spacing w:line="320" w:lineRule="exact"/>
              <w:jc w:val="center"/>
              <w:rPr>
                <w:rFonts w:hint="eastAsia" w:hAnsi="宋体"/>
                <w:sz w:val="21"/>
                <w:szCs w:val="21"/>
                <w:highlight w:val="none"/>
              </w:rPr>
            </w:pPr>
            <w:r>
              <w:rPr>
                <w:rFonts w:hint="eastAsia" w:hAnsi="宋体"/>
                <w:sz w:val="21"/>
                <w:szCs w:val="21"/>
                <w:highlight w:val="none"/>
              </w:rPr>
              <w:t>条款号</w:t>
            </w:r>
          </w:p>
        </w:tc>
        <w:tc>
          <w:tcPr>
            <w:tcW w:w="972" w:type="dxa"/>
            <w:tcBorders>
              <w:top w:val="single" w:color="auto" w:sz="4" w:space="0"/>
              <w:left w:val="single" w:color="auto" w:sz="4" w:space="0"/>
              <w:bottom w:val="single" w:color="auto" w:sz="4" w:space="0"/>
              <w:right w:val="single" w:color="auto" w:sz="4" w:space="0"/>
            </w:tcBorders>
            <w:vAlign w:val="center"/>
          </w:tcPr>
          <w:p w14:paraId="154DF3AD">
            <w:pPr>
              <w:pStyle w:val="5"/>
              <w:snapToGrid w:val="0"/>
              <w:spacing w:line="320" w:lineRule="exact"/>
              <w:jc w:val="center"/>
              <w:rPr>
                <w:rFonts w:hint="eastAsia" w:hAnsi="宋体"/>
                <w:sz w:val="21"/>
                <w:szCs w:val="21"/>
                <w:highlight w:val="none"/>
              </w:rPr>
            </w:pPr>
            <w:r>
              <w:rPr>
                <w:rFonts w:hint="eastAsia" w:hAnsi="宋体"/>
                <w:sz w:val="21"/>
                <w:szCs w:val="21"/>
                <w:highlight w:val="none"/>
              </w:rPr>
              <w:t>评分因素</w:t>
            </w:r>
          </w:p>
        </w:tc>
        <w:tc>
          <w:tcPr>
            <w:tcW w:w="638" w:type="dxa"/>
            <w:tcBorders>
              <w:top w:val="single" w:color="auto" w:sz="4" w:space="0"/>
              <w:left w:val="single" w:color="auto" w:sz="4" w:space="0"/>
              <w:bottom w:val="single" w:color="auto" w:sz="4" w:space="0"/>
              <w:right w:val="single" w:color="auto" w:sz="4" w:space="0"/>
            </w:tcBorders>
            <w:vAlign w:val="center"/>
          </w:tcPr>
          <w:p w14:paraId="6A89E479">
            <w:pPr>
              <w:pStyle w:val="5"/>
              <w:snapToGrid w:val="0"/>
              <w:spacing w:line="320" w:lineRule="exact"/>
              <w:ind w:left="-34" w:leftChars="-19" w:right="-27" w:rightChars="-15" w:firstLine="1"/>
              <w:jc w:val="center"/>
              <w:rPr>
                <w:rFonts w:hint="eastAsia" w:hAnsi="宋体"/>
                <w:sz w:val="21"/>
                <w:szCs w:val="21"/>
                <w:highlight w:val="none"/>
              </w:rPr>
            </w:pPr>
            <w:r>
              <w:rPr>
                <w:rFonts w:hint="eastAsia" w:hAnsi="宋体"/>
                <w:sz w:val="21"/>
                <w:szCs w:val="21"/>
                <w:highlight w:val="none"/>
              </w:rPr>
              <w:t>评分因素 权重分值</w:t>
            </w:r>
          </w:p>
        </w:tc>
        <w:tc>
          <w:tcPr>
            <w:tcW w:w="1077" w:type="dxa"/>
            <w:tcBorders>
              <w:top w:val="single" w:color="auto" w:sz="4" w:space="0"/>
              <w:left w:val="single" w:color="auto" w:sz="4" w:space="0"/>
              <w:bottom w:val="single" w:color="auto" w:sz="4" w:space="0"/>
              <w:right w:val="single" w:color="auto" w:sz="4" w:space="0"/>
            </w:tcBorders>
            <w:vAlign w:val="center"/>
          </w:tcPr>
          <w:p w14:paraId="470EF1BD">
            <w:pPr>
              <w:pStyle w:val="5"/>
              <w:snapToGrid w:val="0"/>
              <w:spacing w:line="320" w:lineRule="exact"/>
              <w:jc w:val="center"/>
              <w:rPr>
                <w:rFonts w:hint="eastAsia" w:hAnsi="宋体"/>
                <w:sz w:val="21"/>
                <w:szCs w:val="21"/>
                <w:highlight w:val="none"/>
              </w:rPr>
            </w:pPr>
            <w:r>
              <w:rPr>
                <w:rStyle w:val="13"/>
                <w:rFonts w:hint="eastAsia"/>
                <w:color w:val="auto"/>
                <w:highlight w:val="none"/>
              </w:rPr>
              <w:t>各评分因素细分项</w:t>
            </w:r>
          </w:p>
        </w:tc>
        <w:tc>
          <w:tcPr>
            <w:tcW w:w="675" w:type="dxa"/>
            <w:tcBorders>
              <w:left w:val="single" w:color="auto" w:sz="4" w:space="0"/>
            </w:tcBorders>
            <w:vAlign w:val="center"/>
          </w:tcPr>
          <w:p w14:paraId="235CBC33">
            <w:pPr>
              <w:pStyle w:val="5"/>
              <w:snapToGrid w:val="0"/>
              <w:spacing w:line="320" w:lineRule="exact"/>
              <w:jc w:val="center"/>
              <w:rPr>
                <w:rFonts w:hint="eastAsia" w:hAnsi="宋体"/>
                <w:sz w:val="21"/>
                <w:szCs w:val="21"/>
                <w:highlight w:val="none"/>
              </w:rPr>
            </w:pPr>
            <w:r>
              <w:rPr>
                <w:rFonts w:hint="eastAsia" w:hAnsi="宋体"/>
                <w:sz w:val="21"/>
                <w:szCs w:val="21"/>
                <w:highlight w:val="none"/>
              </w:rPr>
              <w:t>分值</w:t>
            </w:r>
          </w:p>
        </w:tc>
        <w:tc>
          <w:tcPr>
            <w:tcW w:w="5549" w:type="dxa"/>
            <w:vMerge w:val="continue"/>
            <w:vAlign w:val="center"/>
          </w:tcPr>
          <w:p w14:paraId="37ACB084">
            <w:pPr>
              <w:pStyle w:val="5"/>
              <w:snapToGrid w:val="0"/>
              <w:spacing w:line="320" w:lineRule="exact"/>
              <w:jc w:val="center"/>
              <w:rPr>
                <w:rFonts w:hint="eastAsia" w:hAnsi="宋体"/>
                <w:sz w:val="21"/>
                <w:szCs w:val="21"/>
                <w:highlight w:val="none"/>
              </w:rPr>
            </w:pPr>
          </w:p>
        </w:tc>
      </w:tr>
      <w:tr w14:paraId="1238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tcBorders>
              <w:top w:val="single" w:color="auto" w:sz="4" w:space="0"/>
            </w:tcBorders>
            <w:vAlign w:val="center"/>
          </w:tcPr>
          <w:p w14:paraId="53242266">
            <w:pPr>
              <w:pStyle w:val="5"/>
              <w:snapToGrid w:val="0"/>
              <w:spacing w:line="320" w:lineRule="exact"/>
              <w:jc w:val="center"/>
              <w:rPr>
                <w:rFonts w:hint="eastAsia" w:hAnsi="宋体"/>
                <w:sz w:val="21"/>
                <w:szCs w:val="21"/>
                <w:highlight w:val="none"/>
              </w:rPr>
            </w:pPr>
            <w:r>
              <w:rPr>
                <w:rFonts w:hint="eastAsia" w:hAnsi="宋体"/>
                <w:sz w:val="21"/>
                <w:szCs w:val="21"/>
                <w:highlight w:val="none"/>
              </w:rPr>
              <w:t>2.2.4（1）</w:t>
            </w:r>
          </w:p>
        </w:tc>
        <w:tc>
          <w:tcPr>
            <w:tcW w:w="972" w:type="dxa"/>
            <w:vMerge w:val="restart"/>
            <w:tcBorders>
              <w:top w:val="single" w:color="auto" w:sz="4" w:space="0"/>
            </w:tcBorders>
            <w:vAlign w:val="center"/>
          </w:tcPr>
          <w:p w14:paraId="53D4D3F3">
            <w:pPr>
              <w:pStyle w:val="5"/>
              <w:snapToGrid w:val="0"/>
              <w:spacing w:line="320" w:lineRule="exact"/>
              <w:jc w:val="center"/>
              <w:rPr>
                <w:rFonts w:hint="eastAsia" w:hAnsi="宋体"/>
                <w:sz w:val="21"/>
                <w:szCs w:val="21"/>
                <w:highlight w:val="none"/>
              </w:rPr>
            </w:pPr>
            <w:r>
              <w:rPr>
                <w:rFonts w:hint="eastAsia" w:hAnsi="宋体"/>
                <w:sz w:val="21"/>
                <w:szCs w:val="21"/>
                <w:highlight w:val="none"/>
              </w:rPr>
              <w:t>实施</w:t>
            </w:r>
          </w:p>
          <w:p w14:paraId="4E01F0CC">
            <w:pPr>
              <w:pStyle w:val="5"/>
              <w:snapToGrid w:val="0"/>
              <w:spacing w:line="320" w:lineRule="exact"/>
              <w:jc w:val="center"/>
              <w:rPr>
                <w:rFonts w:hint="eastAsia" w:hAnsi="宋体"/>
                <w:sz w:val="21"/>
                <w:szCs w:val="21"/>
                <w:highlight w:val="none"/>
              </w:rPr>
            </w:pPr>
            <w:r>
              <w:rPr>
                <w:rFonts w:hint="eastAsia" w:hAnsi="宋体"/>
                <w:sz w:val="21"/>
                <w:szCs w:val="21"/>
                <w:highlight w:val="none"/>
              </w:rPr>
              <w:t>方案</w:t>
            </w:r>
          </w:p>
          <w:p w14:paraId="2C48897C">
            <w:pPr>
              <w:pStyle w:val="5"/>
              <w:snapToGrid w:val="0"/>
              <w:spacing w:line="320" w:lineRule="exact"/>
              <w:jc w:val="center"/>
              <w:rPr>
                <w:rFonts w:hint="eastAsia" w:hAnsi="宋体" w:eastAsia="宋体"/>
                <w:sz w:val="21"/>
                <w:szCs w:val="21"/>
                <w:highlight w:val="none"/>
                <w:lang w:eastAsia="zh-CN"/>
              </w:rPr>
            </w:pPr>
            <w:r>
              <w:rPr>
                <w:rFonts w:hint="eastAsia" w:hAnsi="宋体"/>
                <w:sz w:val="21"/>
                <w:szCs w:val="21"/>
                <w:highlight w:val="none"/>
                <w:lang w:eastAsia="zh-CN"/>
              </w:rPr>
              <w:t>（</w:t>
            </w:r>
            <w:r>
              <w:rPr>
                <w:rFonts w:hint="eastAsia" w:hAnsi="宋体"/>
                <w:sz w:val="21"/>
                <w:szCs w:val="21"/>
                <w:highlight w:val="none"/>
                <w:lang w:val="en-US" w:eastAsia="zh-CN"/>
              </w:rPr>
              <w:t>暗标</w:t>
            </w:r>
            <w:r>
              <w:rPr>
                <w:rFonts w:hint="eastAsia" w:hAnsi="宋体"/>
                <w:sz w:val="21"/>
                <w:szCs w:val="21"/>
                <w:highlight w:val="none"/>
                <w:lang w:eastAsia="zh-CN"/>
              </w:rPr>
              <w:t>）</w:t>
            </w:r>
          </w:p>
        </w:tc>
        <w:tc>
          <w:tcPr>
            <w:tcW w:w="638" w:type="dxa"/>
            <w:vMerge w:val="restart"/>
            <w:tcBorders>
              <w:top w:val="single" w:color="auto" w:sz="4" w:space="0"/>
            </w:tcBorders>
            <w:vAlign w:val="center"/>
          </w:tcPr>
          <w:p w14:paraId="75CF1922">
            <w:pPr>
              <w:pStyle w:val="5"/>
              <w:snapToGrid w:val="0"/>
              <w:spacing w:line="320" w:lineRule="exact"/>
              <w:jc w:val="center"/>
              <w:rPr>
                <w:rFonts w:hint="eastAsia" w:hAnsi="宋体"/>
                <w:sz w:val="21"/>
                <w:szCs w:val="21"/>
                <w:highlight w:val="none"/>
              </w:rPr>
            </w:pPr>
            <w:r>
              <w:rPr>
                <w:rFonts w:hint="eastAsia" w:hAnsi="宋体"/>
                <w:sz w:val="21"/>
                <w:szCs w:val="21"/>
                <w:highlight w:val="none"/>
                <w:lang w:eastAsia="zh-CN"/>
              </w:rPr>
              <w:t>40</w:t>
            </w:r>
            <w:r>
              <w:rPr>
                <w:rFonts w:hint="eastAsia" w:hAnsi="宋体"/>
                <w:sz w:val="21"/>
                <w:szCs w:val="21"/>
                <w:highlight w:val="none"/>
              </w:rPr>
              <w:t>分</w:t>
            </w:r>
          </w:p>
        </w:tc>
        <w:tc>
          <w:tcPr>
            <w:tcW w:w="1077" w:type="dxa"/>
            <w:tcBorders>
              <w:top w:val="single" w:color="auto" w:sz="4" w:space="0"/>
            </w:tcBorders>
            <w:vAlign w:val="center"/>
          </w:tcPr>
          <w:p w14:paraId="25042B4F">
            <w:pPr>
              <w:widowControl/>
              <w:snapToGrid w:val="0"/>
              <w:spacing w:line="320" w:lineRule="exact"/>
              <w:jc w:val="center"/>
              <w:textAlignment w:val="top"/>
              <w:rPr>
                <w:rFonts w:hint="eastAsia" w:ascii="宋体" w:hAnsi="宋体"/>
                <w:sz w:val="21"/>
                <w:szCs w:val="21"/>
                <w:highlight w:val="none"/>
                <w:lang w:eastAsia="zh-CN"/>
              </w:rPr>
            </w:pPr>
            <w:r>
              <w:rPr>
                <w:rFonts w:hint="eastAsia" w:ascii="宋体" w:hAnsi="宋体"/>
                <w:color w:val="000000"/>
                <w:sz w:val="21"/>
                <w:szCs w:val="21"/>
                <w:highlight w:val="none"/>
                <w:lang w:eastAsia="zh-CN" w:bidi="ar"/>
              </w:rPr>
              <w:t>对招标项目的理解和总体思路</w:t>
            </w:r>
          </w:p>
        </w:tc>
        <w:tc>
          <w:tcPr>
            <w:tcW w:w="675" w:type="dxa"/>
            <w:vAlign w:val="center"/>
          </w:tcPr>
          <w:p w14:paraId="2BFE3637">
            <w:pPr>
              <w:widowControl/>
              <w:snapToGrid w:val="0"/>
              <w:spacing w:line="320" w:lineRule="exact"/>
              <w:jc w:val="center"/>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10分</w:t>
            </w:r>
          </w:p>
        </w:tc>
        <w:tc>
          <w:tcPr>
            <w:tcW w:w="5549" w:type="dxa"/>
          </w:tcPr>
          <w:p w14:paraId="52729E84">
            <w:pPr>
              <w:widowControl/>
              <w:snapToGrid w:val="0"/>
              <w:spacing w:line="320" w:lineRule="exact"/>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1.能整体把握项目建设需求，深入了解集团业务及各使用场景，准确理解项目建设目标与任务，对所建系统需求认识清晰、分析充分，结合已有业务及系统运行现状，明确协同适配方向，总体思路科学严谨、贴合实际。得8.</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-10.0分；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2.能较好把握项目建设的核心需求，了解集团主要业务及核心场景，较为准确理解项目建设目标与任务，对所建系统需求分析较为充分，结合已有业务及系统运行基本现状，兼顾协同性，总体思路基本适配项目需求。得6.</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-8.0分；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3.能基本把握项目基础需求，初步了解集团核心业务及基础场景，基本理解项目建设目标与任务，对所建系统需求分析基本充分，结合已有业务及系统运行初步现状，初步考虑协同性，总体思路可保障项目基础推进。得6.0分。</w:t>
            </w:r>
          </w:p>
        </w:tc>
      </w:tr>
      <w:tr w14:paraId="1CBF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vAlign w:val="center"/>
          </w:tcPr>
          <w:p w14:paraId="0C44B4C4">
            <w:pPr>
              <w:pStyle w:val="5"/>
              <w:snapToGrid w:val="0"/>
              <w:spacing w:line="320" w:lineRule="exact"/>
              <w:jc w:val="center"/>
              <w:rPr>
                <w:rFonts w:hint="eastAsia" w:hAnsi="宋体"/>
                <w:sz w:val="21"/>
                <w:szCs w:val="21"/>
                <w:highlight w:val="none"/>
              </w:rPr>
            </w:pPr>
          </w:p>
        </w:tc>
        <w:tc>
          <w:tcPr>
            <w:tcW w:w="972" w:type="dxa"/>
            <w:vMerge w:val="continue"/>
            <w:vAlign w:val="center"/>
          </w:tcPr>
          <w:p w14:paraId="42D769A4">
            <w:pPr>
              <w:pStyle w:val="5"/>
              <w:snapToGrid w:val="0"/>
              <w:spacing w:line="320" w:lineRule="exact"/>
              <w:jc w:val="center"/>
              <w:rPr>
                <w:rFonts w:hint="eastAsia" w:hAnsi="宋体"/>
                <w:sz w:val="21"/>
                <w:szCs w:val="21"/>
                <w:highlight w:val="none"/>
              </w:rPr>
            </w:pPr>
          </w:p>
        </w:tc>
        <w:tc>
          <w:tcPr>
            <w:tcW w:w="638" w:type="dxa"/>
            <w:vMerge w:val="continue"/>
            <w:vAlign w:val="center"/>
          </w:tcPr>
          <w:p w14:paraId="5CFC9962">
            <w:pPr>
              <w:pStyle w:val="5"/>
              <w:snapToGrid w:val="0"/>
              <w:spacing w:line="320" w:lineRule="exact"/>
              <w:jc w:val="center"/>
              <w:rPr>
                <w:rFonts w:hint="eastAsia" w:hAnsi="宋体"/>
                <w:sz w:val="21"/>
                <w:szCs w:val="21"/>
                <w:highlight w:val="none"/>
              </w:rPr>
            </w:pPr>
          </w:p>
        </w:tc>
        <w:tc>
          <w:tcPr>
            <w:tcW w:w="1077" w:type="dxa"/>
            <w:vAlign w:val="center"/>
          </w:tcPr>
          <w:p w14:paraId="61953884">
            <w:pPr>
              <w:widowControl/>
              <w:snapToGrid w:val="0"/>
              <w:spacing w:line="320" w:lineRule="exact"/>
              <w:jc w:val="center"/>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总体实施方案</w:t>
            </w:r>
          </w:p>
        </w:tc>
        <w:tc>
          <w:tcPr>
            <w:tcW w:w="675" w:type="dxa"/>
            <w:vAlign w:val="center"/>
          </w:tcPr>
          <w:p w14:paraId="34A5F9B8">
            <w:pPr>
              <w:widowControl/>
              <w:snapToGrid w:val="0"/>
              <w:spacing w:line="320" w:lineRule="exact"/>
              <w:jc w:val="center"/>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10分</w:t>
            </w:r>
          </w:p>
        </w:tc>
        <w:tc>
          <w:tcPr>
            <w:tcW w:w="5549" w:type="dxa"/>
          </w:tcPr>
          <w:p w14:paraId="5E69D28C">
            <w:pPr>
              <w:widowControl/>
              <w:snapToGrid w:val="0"/>
              <w:spacing w:line="320" w:lineRule="exact"/>
              <w:textAlignment w:val="top"/>
              <w:rPr>
                <w:rFonts w:hint="eastAsia" w:ascii="宋体" w:hAnsi="宋体"/>
                <w:sz w:val="21"/>
                <w:szCs w:val="21"/>
                <w:highlight w:val="none"/>
                <w:lang w:eastAsia="zh-CN"/>
              </w:rPr>
            </w:pPr>
            <w:r>
              <w:rPr>
                <w:rFonts w:hint="eastAsia" w:ascii="宋体" w:hAnsi="宋体"/>
                <w:color w:val="000000"/>
                <w:sz w:val="21"/>
                <w:szCs w:val="21"/>
                <w:highlight w:val="none"/>
                <w:lang w:eastAsia="zh-CN" w:bidi="ar"/>
              </w:rPr>
              <w:t>1. 总体实施方案各项功能满足招标文件要求，贴合集团业务场景及数字化建设需求，业务流程梳理完整、数据流转顺畅闭环，可与已有业务系统无缝衔接、有效延续，核心业务指标设定科学合理，技术理念创新、内容全面科学，子系统逻辑清晰、架构完整，技术先进灵活，可丰富功能并提出建设性合理化建议，得8.</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-10.0分。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2. 总体实施方案各项功能满足招标文件要求，贴合集团业务场景，业务流程描述清晰、数据流转基本顺畅，能实现与已有业务系统有效关联及延续，核心业务指标设定科学，技术和方案较为先进，方案具备较强可行性，得6.</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-8.0分。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3. 总体实施方案主要功能基本满足招标文件要求，贴合集团核心业务场景及基础数字化需求，能梳理核心业务基础流程、保障数据基础流转，可实现与已有业务系统基础关联及延续，基础业务指标设定基本科学，方案基本可行，可保障所建系统基础落地，无重大功能缺失及逻辑偏差，得6.0分。</w:t>
            </w:r>
          </w:p>
        </w:tc>
      </w:tr>
      <w:tr w14:paraId="1FD8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vAlign w:val="center"/>
          </w:tcPr>
          <w:p w14:paraId="6B96645C">
            <w:pPr>
              <w:pStyle w:val="5"/>
              <w:snapToGrid w:val="0"/>
              <w:spacing w:line="320" w:lineRule="exact"/>
              <w:jc w:val="center"/>
              <w:rPr>
                <w:rFonts w:hint="eastAsia" w:hAnsi="宋体"/>
                <w:sz w:val="21"/>
                <w:szCs w:val="21"/>
                <w:highlight w:val="none"/>
                <w:lang w:eastAsia="zh-CN"/>
              </w:rPr>
            </w:pPr>
          </w:p>
        </w:tc>
        <w:tc>
          <w:tcPr>
            <w:tcW w:w="972" w:type="dxa"/>
            <w:vMerge w:val="continue"/>
            <w:vAlign w:val="center"/>
          </w:tcPr>
          <w:p w14:paraId="03951310">
            <w:pPr>
              <w:pStyle w:val="5"/>
              <w:snapToGrid w:val="0"/>
              <w:spacing w:line="320" w:lineRule="exact"/>
              <w:jc w:val="center"/>
              <w:rPr>
                <w:rFonts w:hint="eastAsia" w:hAnsi="宋体"/>
                <w:sz w:val="21"/>
                <w:szCs w:val="21"/>
                <w:highlight w:val="none"/>
                <w:lang w:eastAsia="zh-CN"/>
              </w:rPr>
            </w:pPr>
          </w:p>
        </w:tc>
        <w:tc>
          <w:tcPr>
            <w:tcW w:w="638" w:type="dxa"/>
            <w:vMerge w:val="continue"/>
            <w:vAlign w:val="center"/>
          </w:tcPr>
          <w:p w14:paraId="0909072F">
            <w:pPr>
              <w:pStyle w:val="5"/>
              <w:snapToGrid w:val="0"/>
              <w:spacing w:line="320" w:lineRule="exact"/>
              <w:jc w:val="center"/>
              <w:rPr>
                <w:rFonts w:hint="eastAsia" w:hAnsi="宋体"/>
                <w:sz w:val="21"/>
                <w:szCs w:val="21"/>
                <w:highlight w:val="none"/>
                <w:lang w:eastAsia="zh-CN"/>
              </w:rPr>
            </w:pPr>
          </w:p>
        </w:tc>
        <w:tc>
          <w:tcPr>
            <w:tcW w:w="1077" w:type="dxa"/>
            <w:vAlign w:val="center"/>
          </w:tcPr>
          <w:p w14:paraId="3A655CA8">
            <w:pPr>
              <w:widowControl/>
              <w:snapToGrid w:val="0"/>
              <w:spacing w:line="320" w:lineRule="exact"/>
              <w:jc w:val="center"/>
              <w:textAlignment w:val="top"/>
              <w:rPr>
                <w:rFonts w:hint="eastAsia" w:ascii="宋体" w:hAnsi="宋体"/>
                <w:sz w:val="21"/>
                <w:szCs w:val="21"/>
                <w:highlight w:val="none"/>
                <w:lang w:eastAsia="zh-CN"/>
              </w:rPr>
            </w:pPr>
            <w:r>
              <w:rPr>
                <w:rFonts w:hint="eastAsia" w:ascii="宋体" w:hAnsi="宋体"/>
                <w:color w:val="000000"/>
                <w:sz w:val="21"/>
                <w:szCs w:val="21"/>
                <w:highlight w:val="none"/>
                <w:lang w:eastAsia="zh-CN" w:bidi="ar"/>
              </w:rPr>
              <w:t>进度、质量、安全及风险保证措施</w:t>
            </w:r>
          </w:p>
        </w:tc>
        <w:tc>
          <w:tcPr>
            <w:tcW w:w="675" w:type="dxa"/>
            <w:vAlign w:val="center"/>
          </w:tcPr>
          <w:p w14:paraId="5DA076EA">
            <w:pPr>
              <w:widowControl/>
              <w:snapToGrid w:val="0"/>
              <w:spacing w:line="320" w:lineRule="exact"/>
              <w:jc w:val="center"/>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10分</w:t>
            </w:r>
          </w:p>
        </w:tc>
        <w:tc>
          <w:tcPr>
            <w:tcW w:w="5549" w:type="dxa"/>
          </w:tcPr>
          <w:p w14:paraId="6FFEDFB3">
            <w:pPr>
              <w:widowControl/>
              <w:snapToGrid w:val="0"/>
              <w:spacing w:line="320" w:lineRule="exact"/>
              <w:textAlignment w:val="top"/>
              <w:rPr>
                <w:rFonts w:hint="eastAsia" w:ascii="宋体" w:hAnsi="宋体"/>
                <w:kern w:val="2"/>
                <w:sz w:val="21"/>
                <w:szCs w:val="21"/>
                <w:highlight w:val="none"/>
                <w:lang w:eastAsia="zh-CN"/>
              </w:rPr>
            </w:pPr>
            <w:r>
              <w:rPr>
                <w:rFonts w:hint="eastAsia" w:ascii="宋体" w:hAnsi="宋体"/>
                <w:color w:val="000000"/>
                <w:sz w:val="21"/>
                <w:szCs w:val="21"/>
                <w:highlight w:val="none"/>
                <w:lang w:eastAsia="zh-CN" w:bidi="ar"/>
              </w:rPr>
              <w:t>1. 保障方案详尽完善，对进度、质量、安全及风险的分析具体全面、贴合项目实际，对应保证措施科学严谨、可操作性强；其中安全方面体现系统、数据等全流程管控，风险方面重点防控技术、管理类风险，保障项目安全可控、推进有序，得8.</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-10.0分。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2. 保障方案较全面，对进度、质量、安全及风险的分析细致合理、贴合项目实际，对应保证措施全面规范、针对性较强，可实施性较好；其中安全方面能覆盖系统、数据核心管控环节，风险方面能防控主要技术、管理类风险，保障项目平稳推进，得6.</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-8.0分。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3. 保障方案基本可行，对进度、质量、安全及风险的分析基本全面、贴合项目基础需求，对应保证措施基本规范、无明显缺失，可实施性一般；其中安全方面能覆盖系统、数据基础管控，风险方面能初步防控核心技术、管理类风险，保障项目基本推进，得6.0分。</w:t>
            </w:r>
          </w:p>
        </w:tc>
      </w:tr>
      <w:tr w14:paraId="72F1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41" w:type="dxa"/>
            <w:vMerge w:val="continue"/>
          </w:tcPr>
          <w:p w14:paraId="57F39CFB">
            <w:pPr>
              <w:pStyle w:val="5"/>
              <w:snapToGrid w:val="0"/>
              <w:spacing w:line="320" w:lineRule="exact"/>
              <w:jc w:val="center"/>
              <w:rPr>
                <w:rFonts w:hint="eastAsia" w:hAnsi="宋体"/>
                <w:sz w:val="21"/>
                <w:szCs w:val="21"/>
                <w:highlight w:val="none"/>
                <w:lang w:eastAsia="zh-CN"/>
              </w:rPr>
            </w:pPr>
          </w:p>
        </w:tc>
        <w:tc>
          <w:tcPr>
            <w:tcW w:w="972" w:type="dxa"/>
            <w:vMerge w:val="continue"/>
          </w:tcPr>
          <w:p w14:paraId="37DA1D8E">
            <w:pPr>
              <w:pStyle w:val="5"/>
              <w:snapToGrid w:val="0"/>
              <w:spacing w:line="320" w:lineRule="exact"/>
              <w:rPr>
                <w:rFonts w:hint="eastAsia" w:hAnsi="宋体"/>
                <w:sz w:val="21"/>
                <w:szCs w:val="21"/>
                <w:highlight w:val="none"/>
                <w:lang w:eastAsia="zh-CN"/>
              </w:rPr>
            </w:pPr>
          </w:p>
        </w:tc>
        <w:tc>
          <w:tcPr>
            <w:tcW w:w="638" w:type="dxa"/>
            <w:vMerge w:val="continue"/>
          </w:tcPr>
          <w:p w14:paraId="45AC984B">
            <w:pPr>
              <w:pStyle w:val="5"/>
              <w:snapToGrid w:val="0"/>
              <w:spacing w:line="320" w:lineRule="exact"/>
              <w:rPr>
                <w:rFonts w:hint="eastAsia" w:hAnsi="宋体"/>
                <w:sz w:val="21"/>
                <w:szCs w:val="21"/>
                <w:highlight w:val="none"/>
                <w:lang w:eastAsia="zh-CN"/>
              </w:rPr>
            </w:pPr>
          </w:p>
        </w:tc>
        <w:tc>
          <w:tcPr>
            <w:tcW w:w="1077" w:type="dxa"/>
            <w:tcBorders>
              <w:bottom w:val="single" w:color="auto" w:sz="4" w:space="0"/>
            </w:tcBorders>
            <w:vAlign w:val="center"/>
          </w:tcPr>
          <w:p w14:paraId="095B4892">
            <w:pPr>
              <w:widowControl/>
              <w:snapToGrid w:val="0"/>
              <w:spacing w:line="320" w:lineRule="exact"/>
              <w:jc w:val="center"/>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运维与售后</w:t>
            </w:r>
          </w:p>
        </w:tc>
        <w:tc>
          <w:tcPr>
            <w:tcW w:w="675" w:type="dxa"/>
            <w:tcBorders>
              <w:bottom w:val="single" w:color="auto" w:sz="4" w:space="0"/>
            </w:tcBorders>
            <w:vAlign w:val="center"/>
          </w:tcPr>
          <w:p w14:paraId="0DFBBBEB">
            <w:pPr>
              <w:widowControl/>
              <w:snapToGrid w:val="0"/>
              <w:spacing w:line="320" w:lineRule="exact"/>
              <w:jc w:val="center"/>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10分</w:t>
            </w:r>
          </w:p>
        </w:tc>
        <w:tc>
          <w:tcPr>
            <w:tcW w:w="5549" w:type="dxa"/>
            <w:tcBorders>
              <w:bottom w:val="single" w:color="auto" w:sz="4" w:space="0"/>
            </w:tcBorders>
          </w:tcPr>
          <w:p w14:paraId="0D64E6AA">
            <w:pPr>
              <w:widowControl/>
              <w:snapToGrid w:val="0"/>
              <w:spacing w:line="320" w:lineRule="exact"/>
              <w:textAlignment w:val="top"/>
              <w:rPr>
                <w:rFonts w:hint="eastAsia" w:ascii="宋体" w:hAnsi="宋体"/>
                <w:kern w:val="2"/>
                <w:sz w:val="21"/>
                <w:szCs w:val="21"/>
                <w:highlight w:val="none"/>
              </w:rPr>
            </w:pPr>
            <w:r>
              <w:rPr>
                <w:rFonts w:hint="eastAsia" w:ascii="宋体" w:hAnsi="宋体"/>
                <w:color w:val="000000"/>
                <w:sz w:val="21"/>
                <w:szCs w:val="21"/>
                <w:highlight w:val="none"/>
                <w:lang w:eastAsia="zh-CN" w:bidi="ar"/>
              </w:rPr>
              <w:t>1.方案完善可操作，覆盖全流程运维内容，配备专业可复用运维系统工具，可实现运维流程线上化、可视化管控，建立完善应急响应机制，承诺长期技术支持，构建完善评价考核体系，制定"高速云"平台协同运维专项措施。得8.</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-10.0分；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2.方案基本完善，覆盖核心运维内容，明确故障响应时限及培训承诺，配备基础运维工具，可实现核心运维流程线上化管理，建立基础应急响应、运维台账与闭环机制，具备简单"高速云"平台协同运维措施，可满足基本运维需求。得6.</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-8.0分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3.方案基本齐全，仅覆盖基础运维内容，明确基础故障响应及简单培训承诺，配备简易运维工具，可支撑基础运维操作，建立基础运维台账及责任分工，可保障无重大运维安全漏洞。得6.0分.</w:t>
            </w:r>
          </w:p>
        </w:tc>
      </w:tr>
      <w:tr w14:paraId="3CEE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0" w:hRule="atLeast"/>
          <w:jc w:val="center"/>
        </w:trPr>
        <w:tc>
          <w:tcPr>
            <w:tcW w:w="741" w:type="dxa"/>
            <w:tcBorders>
              <w:top w:val="nil"/>
            </w:tcBorders>
            <w:vAlign w:val="center"/>
          </w:tcPr>
          <w:p w14:paraId="3DC8888E">
            <w:pPr>
              <w:pStyle w:val="5"/>
              <w:snapToGrid w:val="0"/>
              <w:spacing w:line="320" w:lineRule="exact"/>
              <w:jc w:val="center"/>
              <w:rPr>
                <w:rFonts w:hint="eastAsia" w:hAnsi="宋体"/>
                <w:sz w:val="21"/>
                <w:szCs w:val="21"/>
                <w:highlight w:val="none"/>
              </w:rPr>
            </w:pPr>
            <w:r>
              <w:rPr>
                <w:rFonts w:hint="eastAsia" w:hAnsi="宋体"/>
                <w:sz w:val="21"/>
                <w:szCs w:val="21"/>
                <w:highlight w:val="none"/>
              </w:rPr>
              <w:t>2.2.4（2）</w:t>
            </w:r>
          </w:p>
        </w:tc>
        <w:tc>
          <w:tcPr>
            <w:tcW w:w="972" w:type="dxa"/>
            <w:tcBorders>
              <w:top w:val="nil"/>
            </w:tcBorders>
            <w:vAlign w:val="center"/>
          </w:tcPr>
          <w:p w14:paraId="512B9783">
            <w:pPr>
              <w:pStyle w:val="5"/>
              <w:snapToGrid w:val="0"/>
              <w:spacing w:line="320" w:lineRule="exact"/>
              <w:jc w:val="center"/>
              <w:rPr>
                <w:rFonts w:hint="eastAsia" w:hAnsi="宋体"/>
                <w:sz w:val="21"/>
                <w:szCs w:val="21"/>
                <w:highlight w:val="none"/>
              </w:rPr>
            </w:pPr>
            <w:r>
              <w:rPr>
                <w:rFonts w:hint="eastAsia" w:hAnsi="宋体"/>
                <w:sz w:val="21"/>
                <w:szCs w:val="21"/>
                <w:highlight w:val="none"/>
              </w:rPr>
              <w:t>主要人员</w:t>
            </w:r>
          </w:p>
        </w:tc>
        <w:tc>
          <w:tcPr>
            <w:tcW w:w="638" w:type="dxa"/>
            <w:tcBorders>
              <w:top w:val="nil"/>
            </w:tcBorders>
            <w:vAlign w:val="center"/>
          </w:tcPr>
          <w:p w14:paraId="106053F6">
            <w:pPr>
              <w:pStyle w:val="5"/>
              <w:snapToGrid w:val="0"/>
              <w:spacing w:line="320" w:lineRule="exact"/>
              <w:jc w:val="center"/>
              <w:rPr>
                <w:rFonts w:hint="eastAsia" w:hAnsi="宋体"/>
                <w:sz w:val="21"/>
                <w:szCs w:val="21"/>
                <w:highlight w:val="none"/>
              </w:rPr>
            </w:pPr>
            <w:r>
              <w:rPr>
                <w:rFonts w:hint="eastAsia" w:hAnsi="宋体"/>
                <w:sz w:val="21"/>
                <w:szCs w:val="21"/>
                <w:highlight w:val="none"/>
                <w:lang w:eastAsia="zh-CN"/>
              </w:rPr>
              <w:t>10</w:t>
            </w:r>
            <w:r>
              <w:rPr>
                <w:rFonts w:hint="eastAsia" w:hAnsi="宋体"/>
                <w:sz w:val="21"/>
                <w:szCs w:val="21"/>
                <w:highlight w:val="none"/>
              </w:rPr>
              <w:t>分</w:t>
            </w:r>
          </w:p>
        </w:tc>
        <w:tc>
          <w:tcPr>
            <w:tcW w:w="1077" w:type="dxa"/>
            <w:vAlign w:val="center"/>
          </w:tcPr>
          <w:p w14:paraId="5A81AFE6">
            <w:pPr>
              <w:snapToGrid w:val="0"/>
              <w:spacing w:line="320" w:lineRule="exact"/>
              <w:jc w:val="center"/>
              <w:rPr>
                <w:rFonts w:hint="eastAsia" w:ascii="宋体" w:hAnsi="宋体"/>
                <w:kern w:val="2"/>
                <w:sz w:val="21"/>
                <w:szCs w:val="21"/>
                <w:highlight w:val="none"/>
                <w:lang w:eastAsia="zh-CN"/>
              </w:rPr>
            </w:pPr>
            <w:r>
              <w:rPr>
                <w:rFonts w:hint="eastAsia" w:ascii="宋体" w:hAnsi="宋体"/>
                <w:kern w:val="2"/>
                <w:sz w:val="21"/>
                <w:szCs w:val="21"/>
                <w:highlight w:val="none"/>
                <w:lang w:eastAsia="zh-CN"/>
              </w:rPr>
              <w:t>主要人员</w:t>
            </w:r>
          </w:p>
        </w:tc>
        <w:tc>
          <w:tcPr>
            <w:tcW w:w="675" w:type="dxa"/>
            <w:vAlign w:val="center"/>
          </w:tcPr>
          <w:p w14:paraId="3C45F8DA">
            <w:pPr>
              <w:pStyle w:val="5"/>
              <w:snapToGrid w:val="0"/>
              <w:spacing w:line="320" w:lineRule="exact"/>
              <w:jc w:val="center"/>
              <w:rPr>
                <w:rFonts w:hint="eastAsia" w:hAnsi="宋体"/>
                <w:sz w:val="21"/>
                <w:szCs w:val="21"/>
                <w:highlight w:val="none"/>
                <w:lang w:eastAsia="zh-CN"/>
              </w:rPr>
            </w:pPr>
            <w:r>
              <w:rPr>
                <w:rFonts w:hint="eastAsia" w:hAnsi="宋体"/>
                <w:sz w:val="21"/>
                <w:szCs w:val="21"/>
                <w:highlight w:val="none"/>
                <w:lang w:eastAsia="zh-CN"/>
              </w:rPr>
              <w:t>10分</w:t>
            </w:r>
          </w:p>
        </w:tc>
        <w:tc>
          <w:tcPr>
            <w:tcW w:w="5549" w:type="dxa"/>
            <w:tcBorders>
              <w:bottom w:val="single" w:color="auto" w:sz="4" w:space="0"/>
            </w:tcBorders>
            <w:vAlign w:val="center"/>
          </w:tcPr>
          <w:p w14:paraId="6368850E">
            <w:pPr>
              <w:pStyle w:val="4"/>
              <w:snapToGrid w:val="0"/>
              <w:spacing w:after="0"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1.项目负责人和技术负责人</w:t>
            </w:r>
            <w:r>
              <w:rPr>
                <w:rFonts w:hint="eastAsia" w:ascii="宋体" w:hAnsi="宋体"/>
                <w:kern w:val="2"/>
                <w:sz w:val="21"/>
                <w:szCs w:val="21"/>
                <w:highlight w:val="none"/>
                <w:lang w:eastAsia="zh-CN"/>
              </w:rPr>
              <w:t>满足“资格审查条件（</w:t>
            </w:r>
            <w:r>
              <w:rPr>
                <w:rFonts w:hint="eastAsia" w:ascii="宋体" w:hAnsi="宋体"/>
                <w:sz w:val="21"/>
                <w:szCs w:val="21"/>
                <w:highlight w:val="none"/>
                <w:lang w:eastAsia="zh-CN"/>
              </w:rPr>
              <w:t>项目负责人和技术负责人</w:t>
            </w:r>
            <w:r>
              <w:rPr>
                <w:rFonts w:hint="eastAsia" w:ascii="宋体" w:hAnsi="宋体"/>
                <w:kern w:val="2"/>
                <w:sz w:val="21"/>
                <w:szCs w:val="21"/>
                <w:highlight w:val="none"/>
                <w:lang w:eastAsia="zh-CN"/>
              </w:rPr>
              <w:t>最低要求）”得6分；</w:t>
            </w:r>
          </w:p>
          <w:p w14:paraId="3BC55D54">
            <w:pPr>
              <w:pStyle w:val="4"/>
              <w:numPr>
                <w:ilvl w:val="255"/>
                <w:numId w:val="0"/>
              </w:numPr>
              <w:snapToGrid w:val="0"/>
              <w:spacing w:after="0" w:line="320" w:lineRule="exact"/>
              <w:rPr>
                <w:rFonts w:hint="eastAsia" w:ascii="宋体" w:hAnsi="宋体"/>
                <w:sz w:val="21"/>
                <w:szCs w:val="21"/>
                <w:highlight w:val="none"/>
                <w:lang w:eastAsia="zh-CN"/>
              </w:rPr>
            </w:pPr>
            <w:r>
              <w:rPr>
                <w:rFonts w:hint="eastAsia" w:ascii="宋体" w:hAnsi="宋体"/>
                <w:kern w:val="2"/>
                <w:sz w:val="21"/>
                <w:szCs w:val="21"/>
                <w:highlight w:val="none"/>
                <w:lang w:eastAsia="zh-CN"/>
              </w:rPr>
              <w:t>2.项目负责人</w:t>
            </w:r>
            <w:r>
              <w:rPr>
                <w:rFonts w:hint="eastAsia" w:ascii="宋体" w:hAnsi="宋体"/>
                <w:sz w:val="21"/>
                <w:szCs w:val="21"/>
                <w:highlight w:val="none"/>
                <w:lang w:eastAsia="zh-CN"/>
              </w:rPr>
              <w:t>近5年（2021年4月1日至投标截止时间，以合同签订时间为准），每</w:t>
            </w:r>
            <w:r>
              <w:rPr>
                <w:rFonts w:hint="eastAsia" w:ascii="宋体" w:hAnsi="宋体"/>
                <w:sz w:val="21"/>
                <w:szCs w:val="21"/>
                <w:highlight w:val="none"/>
                <w:lang w:val="en-US" w:eastAsia="zh-CN"/>
              </w:rPr>
              <w:t>增加</w:t>
            </w:r>
            <w:r>
              <w:rPr>
                <w:rFonts w:hint="eastAsia" w:ascii="宋体" w:hAnsi="宋体"/>
                <w:sz w:val="21"/>
                <w:szCs w:val="21"/>
                <w:highlight w:val="none"/>
                <w:lang w:eastAsia="zh-CN"/>
              </w:rPr>
              <w:t>1项合同金额不少于2000万元的软件开发项目的项目负责人</w:t>
            </w:r>
            <w:r>
              <w:rPr>
                <w:rFonts w:hint="eastAsia" w:ascii="宋体" w:hAnsi="宋体"/>
                <w:bCs/>
                <w:sz w:val="21"/>
                <w:szCs w:val="21"/>
                <w:highlight w:val="none"/>
                <w:lang w:eastAsia="zh-CN"/>
              </w:rPr>
              <w:t>（或项目经理或技术负责人）</w:t>
            </w:r>
            <w:r>
              <w:rPr>
                <w:rFonts w:hint="eastAsia" w:ascii="宋体" w:hAnsi="宋体"/>
                <w:bCs/>
                <w:sz w:val="21"/>
                <w:szCs w:val="21"/>
                <w:highlight w:val="none"/>
                <w:lang w:val="en-US" w:eastAsia="zh-CN"/>
              </w:rPr>
              <w:t>业绩</w:t>
            </w:r>
            <w:r>
              <w:rPr>
                <w:rFonts w:hint="eastAsia" w:ascii="宋体" w:hAnsi="宋体"/>
                <w:bCs/>
                <w:sz w:val="21"/>
                <w:szCs w:val="21"/>
                <w:highlight w:val="none"/>
                <w:lang w:eastAsia="zh-CN"/>
              </w:rPr>
              <w:t>加2分</w:t>
            </w:r>
            <w:r>
              <w:rPr>
                <w:rFonts w:hint="eastAsia" w:ascii="宋体" w:hAnsi="宋体"/>
                <w:sz w:val="21"/>
                <w:szCs w:val="21"/>
                <w:highlight w:val="none"/>
                <w:lang w:eastAsia="zh-CN"/>
              </w:rPr>
              <w:t>，最多加2分。</w:t>
            </w:r>
          </w:p>
          <w:p w14:paraId="1DA22764">
            <w:pPr>
              <w:pStyle w:val="4"/>
              <w:numPr>
                <w:ilvl w:val="255"/>
                <w:numId w:val="0"/>
              </w:numPr>
              <w:snapToGrid w:val="0"/>
              <w:spacing w:after="0" w:line="320" w:lineRule="exact"/>
              <w:rPr>
                <w:rFonts w:hint="eastAsia" w:ascii="宋体" w:hAnsi="宋体"/>
                <w:sz w:val="21"/>
                <w:szCs w:val="21"/>
                <w:highlight w:val="none"/>
                <w:lang w:eastAsia="zh-CN"/>
              </w:rPr>
            </w:pPr>
            <w:r>
              <w:rPr>
                <w:rFonts w:hint="eastAsia" w:ascii="宋体" w:hAnsi="宋体"/>
                <w:kern w:val="2"/>
                <w:sz w:val="21"/>
                <w:szCs w:val="21"/>
                <w:highlight w:val="none"/>
                <w:lang w:val="en-US" w:eastAsia="zh-CN"/>
              </w:rPr>
              <w:t>3</w:t>
            </w:r>
            <w:r>
              <w:rPr>
                <w:rFonts w:hint="eastAsia" w:ascii="宋体" w:hAnsi="宋体"/>
                <w:kern w:val="2"/>
                <w:sz w:val="21"/>
                <w:szCs w:val="21"/>
                <w:highlight w:val="none"/>
                <w:lang w:eastAsia="zh-CN"/>
              </w:rPr>
              <w:t>.</w:t>
            </w:r>
            <w:r>
              <w:rPr>
                <w:rFonts w:hint="eastAsia" w:ascii="宋体" w:hAnsi="宋体"/>
                <w:kern w:val="2"/>
                <w:sz w:val="21"/>
                <w:szCs w:val="21"/>
                <w:highlight w:val="none"/>
                <w:lang w:val="en-US" w:eastAsia="zh-CN"/>
              </w:rPr>
              <w:t>技术</w:t>
            </w:r>
            <w:r>
              <w:rPr>
                <w:rFonts w:hint="eastAsia" w:ascii="宋体" w:hAnsi="宋体"/>
                <w:kern w:val="2"/>
                <w:sz w:val="21"/>
                <w:szCs w:val="21"/>
                <w:highlight w:val="none"/>
                <w:lang w:eastAsia="zh-CN"/>
              </w:rPr>
              <w:t>负责人</w:t>
            </w:r>
            <w:r>
              <w:rPr>
                <w:rFonts w:hint="eastAsia" w:ascii="宋体" w:hAnsi="宋体"/>
                <w:sz w:val="21"/>
                <w:szCs w:val="21"/>
                <w:highlight w:val="none"/>
                <w:lang w:eastAsia="zh-CN"/>
              </w:rPr>
              <w:t>近5年（2021年4月1日至投标截止时间，以合同签订时间为准），每</w:t>
            </w:r>
            <w:r>
              <w:rPr>
                <w:rFonts w:hint="eastAsia" w:ascii="宋体" w:hAnsi="宋体"/>
                <w:sz w:val="21"/>
                <w:szCs w:val="21"/>
                <w:highlight w:val="none"/>
                <w:lang w:val="en-US" w:eastAsia="zh-CN"/>
              </w:rPr>
              <w:t>增加</w:t>
            </w:r>
            <w:r>
              <w:rPr>
                <w:rFonts w:hint="eastAsia" w:ascii="宋体" w:hAnsi="宋体"/>
                <w:sz w:val="21"/>
                <w:szCs w:val="21"/>
                <w:highlight w:val="none"/>
                <w:lang w:eastAsia="zh-CN"/>
              </w:rPr>
              <w:t>1项合同金额不少于2000万元的软件开发项目的</w:t>
            </w:r>
            <w:r>
              <w:rPr>
                <w:rFonts w:hint="eastAsia" w:ascii="宋体" w:hAnsi="宋体"/>
                <w:sz w:val="21"/>
                <w:szCs w:val="21"/>
                <w:highlight w:val="none"/>
                <w:lang w:val="en-US" w:eastAsia="zh-CN"/>
              </w:rPr>
              <w:t>技术</w:t>
            </w:r>
            <w:r>
              <w:rPr>
                <w:rFonts w:hint="eastAsia" w:ascii="宋体" w:hAnsi="宋体"/>
                <w:sz w:val="21"/>
                <w:szCs w:val="21"/>
                <w:highlight w:val="none"/>
                <w:lang w:eastAsia="zh-CN"/>
              </w:rPr>
              <w:t>负责人</w:t>
            </w:r>
            <w:r>
              <w:rPr>
                <w:rFonts w:hint="eastAsia" w:ascii="宋体" w:hAnsi="宋体"/>
                <w:bCs/>
                <w:sz w:val="21"/>
                <w:szCs w:val="21"/>
                <w:highlight w:val="none"/>
                <w:lang w:eastAsia="zh-CN"/>
              </w:rPr>
              <w:t>（或项目经理或</w:t>
            </w:r>
            <w:r>
              <w:rPr>
                <w:rFonts w:hint="eastAsia" w:ascii="宋体" w:hAnsi="宋体"/>
                <w:bCs/>
                <w:sz w:val="21"/>
                <w:szCs w:val="21"/>
                <w:highlight w:val="none"/>
                <w:lang w:val="en-US" w:eastAsia="zh-CN"/>
              </w:rPr>
              <w:t>项目</w:t>
            </w:r>
            <w:r>
              <w:rPr>
                <w:rFonts w:hint="eastAsia" w:ascii="宋体" w:hAnsi="宋体"/>
                <w:bCs/>
                <w:sz w:val="21"/>
                <w:szCs w:val="21"/>
                <w:highlight w:val="none"/>
                <w:lang w:eastAsia="zh-CN"/>
              </w:rPr>
              <w:t>负责人）</w:t>
            </w:r>
            <w:r>
              <w:rPr>
                <w:rFonts w:hint="eastAsia" w:ascii="宋体" w:hAnsi="宋体"/>
                <w:bCs/>
                <w:sz w:val="21"/>
                <w:szCs w:val="21"/>
                <w:highlight w:val="none"/>
                <w:lang w:val="en-US" w:eastAsia="zh-CN"/>
              </w:rPr>
              <w:t>业绩</w:t>
            </w:r>
            <w:r>
              <w:rPr>
                <w:rFonts w:hint="eastAsia" w:ascii="宋体" w:hAnsi="宋体"/>
                <w:bCs/>
                <w:sz w:val="21"/>
                <w:szCs w:val="21"/>
                <w:highlight w:val="none"/>
                <w:lang w:eastAsia="zh-CN"/>
              </w:rPr>
              <w:t>加2分</w:t>
            </w:r>
            <w:r>
              <w:rPr>
                <w:rFonts w:hint="eastAsia" w:ascii="宋体" w:hAnsi="宋体"/>
                <w:sz w:val="21"/>
                <w:szCs w:val="21"/>
                <w:highlight w:val="none"/>
                <w:lang w:eastAsia="zh-CN"/>
              </w:rPr>
              <w:t>，最多加2分。</w:t>
            </w:r>
          </w:p>
        </w:tc>
      </w:tr>
      <w:tr w14:paraId="3706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vAlign w:val="center"/>
          </w:tcPr>
          <w:p w14:paraId="147DEBF8">
            <w:pPr>
              <w:pStyle w:val="5"/>
              <w:snapToGrid w:val="0"/>
              <w:spacing w:line="320" w:lineRule="exact"/>
              <w:jc w:val="center"/>
              <w:rPr>
                <w:rFonts w:hint="eastAsia" w:hAnsi="宋体"/>
                <w:sz w:val="21"/>
                <w:szCs w:val="21"/>
                <w:highlight w:val="none"/>
              </w:rPr>
            </w:pPr>
            <w:r>
              <w:rPr>
                <w:rFonts w:hint="eastAsia" w:hAnsi="宋体"/>
                <w:sz w:val="21"/>
                <w:szCs w:val="21"/>
                <w:highlight w:val="none"/>
              </w:rPr>
              <w:t>2.2.4（3）</w:t>
            </w:r>
          </w:p>
        </w:tc>
        <w:tc>
          <w:tcPr>
            <w:tcW w:w="972" w:type="dxa"/>
            <w:tcBorders>
              <w:top w:val="nil"/>
            </w:tcBorders>
            <w:vAlign w:val="center"/>
          </w:tcPr>
          <w:p w14:paraId="3DD25047">
            <w:pPr>
              <w:pStyle w:val="5"/>
              <w:snapToGrid w:val="0"/>
              <w:spacing w:line="320" w:lineRule="exact"/>
              <w:jc w:val="center"/>
              <w:rPr>
                <w:rFonts w:hint="eastAsia" w:hAnsi="宋体"/>
                <w:sz w:val="21"/>
                <w:szCs w:val="21"/>
                <w:highlight w:val="none"/>
              </w:rPr>
            </w:pPr>
            <w:r>
              <w:rPr>
                <w:rFonts w:hint="eastAsia" w:hAnsi="宋体"/>
                <w:sz w:val="21"/>
                <w:szCs w:val="21"/>
                <w:highlight w:val="none"/>
              </w:rPr>
              <w:t>评标价</w:t>
            </w:r>
          </w:p>
        </w:tc>
        <w:tc>
          <w:tcPr>
            <w:tcW w:w="638" w:type="dxa"/>
            <w:tcBorders>
              <w:top w:val="nil"/>
              <w:bottom w:val="single" w:color="auto" w:sz="4" w:space="0"/>
            </w:tcBorders>
            <w:vAlign w:val="center"/>
          </w:tcPr>
          <w:p w14:paraId="485E7CB3">
            <w:pPr>
              <w:pStyle w:val="5"/>
              <w:snapToGrid w:val="0"/>
              <w:spacing w:line="320" w:lineRule="exact"/>
              <w:jc w:val="center"/>
              <w:rPr>
                <w:rFonts w:hint="eastAsia" w:hAnsi="宋体"/>
                <w:sz w:val="21"/>
                <w:szCs w:val="21"/>
                <w:highlight w:val="none"/>
              </w:rPr>
            </w:pPr>
            <w:r>
              <w:rPr>
                <w:rFonts w:hint="eastAsia" w:hAnsi="宋体"/>
                <w:sz w:val="21"/>
                <w:szCs w:val="21"/>
                <w:highlight w:val="none"/>
              </w:rPr>
              <w:t>30分</w:t>
            </w:r>
          </w:p>
        </w:tc>
        <w:tc>
          <w:tcPr>
            <w:tcW w:w="7301" w:type="dxa"/>
            <w:gridSpan w:val="3"/>
            <w:tcBorders>
              <w:bottom w:val="single" w:color="auto" w:sz="4" w:space="0"/>
            </w:tcBorders>
            <w:vAlign w:val="center"/>
          </w:tcPr>
          <w:p w14:paraId="6BE2AEC0">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评标价得分计算公式：</w:t>
            </w:r>
          </w:p>
          <w:p w14:paraId="7256DFC7">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（1）如果投标人的评标价＞评标基准价，则评标价得分=F-（投标人评标价-评标基准价）/评标基准价×100×E1；</w:t>
            </w:r>
          </w:p>
          <w:p w14:paraId="09D3C204">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（2）如果投标人的评标价≤评标基准价，则评标价得分=F+（投标人评标价-评标基准价）/评标基准价×100×E2。</w:t>
            </w:r>
          </w:p>
          <w:p w14:paraId="1BC6DC83">
            <w:pPr>
              <w:snapToGrid w:val="0"/>
              <w:spacing w:line="320" w:lineRule="exact"/>
              <w:rPr>
                <w:rFonts w:hint="eastAsia" w:ascii="宋体" w:hAnsi="宋体"/>
                <w:kern w:val="2"/>
                <w:sz w:val="21"/>
                <w:szCs w:val="21"/>
                <w:highlight w:val="none"/>
              </w:rPr>
            </w:pPr>
            <w:r>
              <w:rPr>
                <w:rFonts w:hint="eastAsia" w:ascii="宋体" w:hAnsi="宋体"/>
                <w:kern w:val="2"/>
                <w:sz w:val="21"/>
                <w:szCs w:val="21"/>
                <w:highlight w:val="none"/>
                <w:lang w:eastAsia="zh-CN"/>
              </w:rPr>
              <w:t>其中，F=30；E1=0.4；E2=0.2；评标价最低得分为0分。</w:t>
            </w:r>
            <w:r>
              <w:rPr>
                <w:rFonts w:hint="eastAsia" w:ascii="宋体" w:hAnsi="宋体"/>
                <w:kern w:val="2"/>
                <w:sz w:val="21"/>
                <w:szCs w:val="21"/>
                <w:highlight w:val="none"/>
              </w:rPr>
              <w:t>得分保留两位小数。</w:t>
            </w:r>
          </w:p>
        </w:tc>
      </w:tr>
      <w:tr w14:paraId="50E6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741" w:type="dxa"/>
            <w:vMerge w:val="restart"/>
            <w:vAlign w:val="center"/>
          </w:tcPr>
          <w:p w14:paraId="068D9441">
            <w:pPr>
              <w:pStyle w:val="5"/>
              <w:snapToGrid w:val="0"/>
              <w:spacing w:line="320" w:lineRule="exact"/>
              <w:jc w:val="center"/>
              <w:rPr>
                <w:rFonts w:hint="eastAsia" w:hAnsi="宋体"/>
                <w:sz w:val="21"/>
                <w:szCs w:val="21"/>
                <w:highlight w:val="none"/>
              </w:rPr>
            </w:pPr>
            <w:r>
              <w:rPr>
                <w:rFonts w:hint="eastAsia" w:hAnsi="宋体"/>
                <w:sz w:val="21"/>
                <w:szCs w:val="21"/>
                <w:highlight w:val="none"/>
              </w:rPr>
              <w:t>2.2.4（4）</w:t>
            </w:r>
          </w:p>
        </w:tc>
        <w:tc>
          <w:tcPr>
            <w:tcW w:w="972" w:type="dxa"/>
            <w:vMerge w:val="restart"/>
            <w:vAlign w:val="center"/>
          </w:tcPr>
          <w:p w14:paraId="007D48A6">
            <w:pPr>
              <w:pStyle w:val="5"/>
              <w:snapToGrid w:val="0"/>
              <w:spacing w:line="320" w:lineRule="exact"/>
              <w:jc w:val="center"/>
              <w:rPr>
                <w:rFonts w:hint="eastAsia" w:hAnsi="宋体"/>
                <w:sz w:val="21"/>
                <w:szCs w:val="21"/>
                <w:highlight w:val="none"/>
              </w:rPr>
            </w:pPr>
            <w:r>
              <w:rPr>
                <w:rFonts w:hint="eastAsia" w:hAnsi="宋体"/>
                <w:sz w:val="21"/>
                <w:szCs w:val="21"/>
                <w:highlight w:val="none"/>
              </w:rPr>
              <w:t>其他因素</w:t>
            </w:r>
          </w:p>
        </w:tc>
        <w:tc>
          <w:tcPr>
            <w:tcW w:w="638" w:type="dxa"/>
            <w:vMerge w:val="restart"/>
            <w:tcBorders>
              <w:top w:val="single" w:color="auto" w:sz="4" w:space="0"/>
            </w:tcBorders>
            <w:vAlign w:val="center"/>
          </w:tcPr>
          <w:p w14:paraId="6158C346">
            <w:pPr>
              <w:pStyle w:val="5"/>
              <w:snapToGrid w:val="0"/>
              <w:spacing w:line="320" w:lineRule="exact"/>
              <w:jc w:val="center"/>
              <w:rPr>
                <w:rFonts w:hint="eastAsia" w:hAnsi="宋体"/>
                <w:sz w:val="21"/>
                <w:szCs w:val="21"/>
                <w:highlight w:val="none"/>
              </w:rPr>
            </w:pPr>
            <w:r>
              <w:rPr>
                <w:rFonts w:hint="eastAsia" w:hAnsi="宋体"/>
                <w:sz w:val="21"/>
                <w:szCs w:val="21"/>
                <w:highlight w:val="none"/>
              </w:rPr>
              <w:t>20分</w:t>
            </w:r>
          </w:p>
        </w:tc>
        <w:tc>
          <w:tcPr>
            <w:tcW w:w="1077" w:type="dxa"/>
            <w:tcBorders>
              <w:top w:val="single" w:color="auto" w:sz="4" w:space="0"/>
              <w:bottom w:val="single" w:color="auto" w:sz="4" w:space="0"/>
            </w:tcBorders>
            <w:vAlign w:val="center"/>
          </w:tcPr>
          <w:p w14:paraId="25482C66">
            <w:pPr>
              <w:pStyle w:val="5"/>
              <w:snapToGrid w:val="0"/>
              <w:spacing w:line="320" w:lineRule="exact"/>
              <w:jc w:val="center"/>
              <w:rPr>
                <w:rFonts w:hint="eastAsia" w:hAnsi="宋体"/>
                <w:sz w:val="21"/>
                <w:szCs w:val="21"/>
                <w:highlight w:val="none"/>
              </w:rPr>
            </w:pPr>
            <w:r>
              <w:rPr>
                <w:rFonts w:hint="eastAsia" w:hAnsi="宋体"/>
                <w:sz w:val="21"/>
                <w:szCs w:val="21"/>
                <w:highlight w:val="none"/>
              </w:rPr>
              <w:t>业绩</w:t>
            </w:r>
          </w:p>
        </w:tc>
        <w:tc>
          <w:tcPr>
            <w:tcW w:w="675" w:type="dxa"/>
            <w:tcBorders>
              <w:top w:val="single" w:color="auto" w:sz="4" w:space="0"/>
              <w:bottom w:val="single" w:color="auto" w:sz="4" w:space="0"/>
            </w:tcBorders>
            <w:vAlign w:val="center"/>
          </w:tcPr>
          <w:p w14:paraId="5CDC0D6F">
            <w:pPr>
              <w:pStyle w:val="5"/>
              <w:snapToGrid w:val="0"/>
              <w:spacing w:line="320" w:lineRule="exact"/>
              <w:jc w:val="center"/>
              <w:rPr>
                <w:rFonts w:hint="eastAsia" w:hAnsi="宋体"/>
                <w:sz w:val="21"/>
                <w:szCs w:val="21"/>
                <w:highlight w:val="none"/>
              </w:rPr>
            </w:pPr>
            <w:r>
              <w:rPr>
                <w:rFonts w:hint="eastAsia" w:hAnsi="宋体"/>
                <w:sz w:val="21"/>
                <w:szCs w:val="21"/>
                <w:highlight w:val="none"/>
                <w:lang w:val="en-US" w:eastAsia="zh-CN"/>
              </w:rPr>
              <w:t>15</w:t>
            </w:r>
            <w:r>
              <w:rPr>
                <w:rFonts w:hint="eastAsia" w:hAnsi="宋体"/>
                <w:sz w:val="21"/>
                <w:szCs w:val="21"/>
                <w:highlight w:val="none"/>
              </w:rPr>
              <w:t>分</w:t>
            </w:r>
          </w:p>
        </w:tc>
        <w:tc>
          <w:tcPr>
            <w:tcW w:w="5549" w:type="dxa"/>
            <w:tcBorders>
              <w:top w:val="single" w:color="auto" w:sz="4" w:space="0"/>
              <w:bottom w:val="single" w:color="auto" w:sz="4" w:space="0"/>
            </w:tcBorders>
            <w:vAlign w:val="center"/>
          </w:tcPr>
          <w:p w14:paraId="00FC4700">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满足“资格审查条件（业绩最低要求）”得</w:t>
            </w:r>
            <w:r>
              <w:rPr>
                <w:rFonts w:hint="eastAsia" w:ascii="宋体" w:hAnsi="宋体"/>
                <w:kern w:val="2"/>
                <w:sz w:val="21"/>
                <w:szCs w:val="21"/>
                <w:highlight w:val="none"/>
                <w:lang w:val="en-US" w:eastAsia="zh-CN"/>
              </w:rPr>
              <w:t>9</w:t>
            </w:r>
            <w:r>
              <w:rPr>
                <w:rFonts w:hint="eastAsia" w:ascii="宋体" w:hAnsi="宋体"/>
                <w:kern w:val="2"/>
                <w:sz w:val="21"/>
                <w:szCs w:val="21"/>
                <w:highlight w:val="none"/>
                <w:lang w:eastAsia="zh-CN"/>
              </w:rPr>
              <w:t>分；</w:t>
            </w:r>
          </w:p>
          <w:p w14:paraId="693C7F26">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val="en-US" w:eastAsia="zh-CN"/>
              </w:rPr>
              <w:t>近</w:t>
            </w:r>
            <w:r>
              <w:rPr>
                <w:rFonts w:hint="eastAsia" w:ascii="宋体" w:hAnsi="宋体"/>
                <w:sz w:val="21"/>
                <w:szCs w:val="21"/>
                <w:highlight w:val="none"/>
                <w:lang w:eastAsia="zh-CN"/>
              </w:rPr>
              <w:t>5年（2021年4月1日至投标截止时间，以合同签订时间为准），每</w:t>
            </w:r>
            <w:r>
              <w:rPr>
                <w:rFonts w:hint="eastAsia" w:ascii="宋体" w:hAnsi="宋体"/>
                <w:sz w:val="21"/>
                <w:szCs w:val="21"/>
                <w:highlight w:val="none"/>
                <w:lang w:val="en-US" w:eastAsia="zh-CN"/>
              </w:rPr>
              <w:t>增加</w:t>
            </w:r>
            <w:r>
              <w:rPr>
                <w:rFonts w:hint="eastAsia" w:ascii="宋体" w:hAnsi="宋体"/>
                <w:sz w:val="21"/>
                <w:szCs w:val="21"/>
                <w:highlight w:val="none"/>
                <w:lang w:eastAsia="zh-CN"/>
              </w:rPr>
              <w:t>1项合同金额不少于2000万元的软件开发项目</w:t>
            </w:r>
            <w:r>
              <w:rPr>
                <w:rFonts w:hint="eastAsia" w:ascii="宋体" w:hAnsi="宋体"/>
                <w:sz w:val="21"/>
                <w:szCs w:val="21"/>
                <w:highlight w:val="none"/>
                <w:lang w:val="en-US" w:eastAsia="zh-CN"/>
              </w:rPr>
              <w:t>业绩</w:t>
            </w:r>
            <w:r>
              <w:rPr>
                <w:rFonts w:hint="eastAsia" w:ascii="宋体" w:hAnsi="宋体"/>
                <w:kern w:val="2"/>
                <w:sz w:val="21"/>
                <w:szCs w:val="21"/>
                <w:highlight w:val="none"/>
                <w:lang w:eastAsia="zh-CN"/>
              </w:rPr>
              <w:t>加</w:t>
            </w:r>
            <w:r>
              <w:rPr>
                <w:rFonts w:hint="eastAsia" w:ascii="宋体" w:hAnsi="宋体"/>
                <w:kern w:val="2"/>
                <w:sz w:val="21"/>
                <w:szCs w:val="21"/>
                <w:highlight w:val="none"/>
                <w:lang w:val="en-US" w:eastAsia="zh-CN"/>
              </w:rPr>
              <w:t>3</w:t>
            </w:r>
            <w:r>
              <w:rPr>
                <w:rFonts w:hint="eastAsia" w:ascii="宋体" w:hAnsi="宋体"/>
                <w:kern w:val="2"/>
                <w:sz w:val="21"/>
                <w:szCs w:val="21"/>
                <w:highlight w:val="none"/>
                <w:lang w:eastAsia="zh-CN"/>
              </w:rPr>
              <w:t>分，最多加</w:t>
            </w:r>
            <w:r>
              <w:rPr>
                <w:rFonts w:hint="eastAsia" w:ascii="宋体" w:hAnsi="宋体"/>
                <w:kern w:val="2"/>
                <w:sz w:val="21"/>
                <w:szCs w:val="21"/>
                <w:highlight w:val="none"/>
                <w:lang w:val="en-US" w:eastAsia="zh-CN"/>
              </w:rPr>
              <w:t>6</w:t>
            </w:r>
            <w:r>
              <w:rPr>
                <w:rFonts w:hint="eastAsia" w:ascii="宋体" w:hAnsi="宋体"/>
                <w:kern w:val="2"/>
                <w:sz w:val="21"/>
                <w:szCs w:val="21"/>
                <w:highlight w:val="none"/>
                <w:lang w:eastAsia="zh-CN"/>
              </w:rPr>
              <w:t>分。</w:t>
            </w:r>
          </w:p>
        </w:tc>
      </w:tr>
      <w:tr w14:paraId="403B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41" w:type="dxa"/>
            <w:vMerge w:val="continue"/>
            <w:vAlign w:val="center"/>
          </w:tcPr>
          <w:p w14:paraId="3F33B125">
            <w:pPr>
              <w:pStyle w:val="5"/>
              <w:snapToGrid w:val="0"/>
              <w:spacing w:line="320" w:lineRule="exact"/>
              <w:jc w:val="center"/>
              <w:rPr>
                <w:rFonts w:hint="eastAsia" w:hAnsi="宋体"/>
                <w:sz w:val="21"/>
                <w:szCs w:val="21"/>
                <w:highlight w:val="none"/>
                <w:lang w:eastAsia="zh-CN"/>
              </w:rPr>
            </w:pPr>
          </w:p>
        </w:tc>
        <w:tc>
          <w:tcPr>
            <w:tcW w:w="972" w:type="dxa"/>
            <w:vMerge w:val="continue"/>
            <w:vAlign w:val="center"/>
          </w:tcPr>
          <w:p w14:paraId="3D1FA206">
            <w:pPr>
              <w:pStyle w:val="5"/>
              <w:snapToGrid w:val="0"/>
              <w:spacing w:line="320" w:lineRule="exact"/>
              <w:jc w:val="center"/>
              <w:rPr>
                <w:rFonts w:hint="eastAsia" w:hAnsi="宋体"/>
                <w:sz w:val="21"/>
                <w:szCs w:val="21"/>
                <w:highlight w:val="none"/>
                <w:lang w:eastAsia="zh-CN"/>
              </w:rPr>
            </w:pPr>
          </w:p>
        </w:tc>
        <w:tc>
          <w:tcPr>
            <w:tcW w:w="638" w:type="dxa"/>
            <w:vMerge w:val="continue"/>
            <w:vAlign w:val="center"/>
          </w:tcPr>
          <w:p w14:paraId="019781E5">
            <w:pPr>
              <w:pStyle w:val="5"/>
              <w:snapToGrid w:val="0"/>
              <w:spacing w:line="320" w:lineRule="exact"/>
              <w:jc w:val="center"/>
              <w:rPr>
                <w:rFonts w:hint="eastAsia" w:hAnsi="宋体"/>
                <w:sz w:val="21"/>
                <w:szCs w:val="21"/>
                <w:highlight w:val="none"/>
                <w:lang w:eastAsia="zh-CN"/>
              </w:rPr>
            </w:pPr>
          </w:p>
        </w:tc>
        <w:tc>
          <w:tcPr>
            <w:tcW w:w="1077" w:type="dxa"/>
            <w:tcBorders>
              <w:top w:val="single" w:color="auto" w:sz="4" w:space="0"/>
            </w:tcBorders>
            <w:vAlign w:val="center"/>
          </w:tcPr>
          <w:p w14:paraId="2C5EED22">
            <w:pPr>
              <w:pStyle w:val="5"/>
              <w:snapToGrid w:val="0"/>
              <w:spacing w:line="320" w:lineRule="exact"/>
              <w:jc w:val="center"/>
              <w:rPr>
                <w:rFonts w:hint="eastAsia" w:hAnsi="宋体"/>
                <w:sz w:val="21"/>
                <w:szCs w:val="21"/>
                <w:highlight w:val="none"/>
                <w:lang w:eastAsia="zh-CN"/>
              </w:rPr>
            </w:pPr>
            <w:r>
              <w:rPr>
                <w:rFonts w:hint="eastAsia" w:hAnsi="宋体"/>
                <w:sz w:val="21"/>
                <w:szCs w:val="21"/>
                <w:highlight w:val="none"/>
                <w:lang w:val="en-US" w:eastAsia="zh-CN"/>
              </w:rPr>
              <w:t>技术能力</w:t>
            </w:r>
          </w:p>
        </w:tc>
        <w:tc>
          <w:tcPr>
            <w:tcW w:w="675" w:type="dxa"/>
            <w:tcBorders>
              <w:top w:val="single" w:color="auto" w:sz="4" w:space="0"/>
            </w:tcBorders>
            <w:vAlign w:val="center"/>
          </w:tcPr>
          <w:p w14:paraId="50BBFB02">
            <w:pPr>
              <w:pStyle w:val="5"/>
              <w:snapToGrid w:val="0"/>
              <w:spacing w:line="320" w:lineRule="exact"/>
              <w:jc w:val="center"/>
              <w:rPr>
                <w:rFonts w:hint="eastAsia" w:hAnsi="宋体"/>
                <w:sz w:val="21"/>
                <w:szCs w:val="21"/>
                <w:highlight w:val="none"/>
                <w:lang w:eastAsia="zh-CN"/>
              </w:rPr>
            </w:pPr>
            <w:r>
              <w:rPr>
                <w:rFonts w:hint="eastAsia" w:hAnsi="宋体"/>
                <w:sz w:val="21"/>
                <w:szCs w:val="21"/>
                <w:highlight w:val="none"/>
                <w:lang w:val="en-US" w:eastAsia="zh-CN"/>
              </w:rPr>
              <w:t>5</w:t>
            </w:r>
            <w:r>
              <w:rPr>
                <w:rFonts w:hint="eastAsia" w:hAnsi="宋体"/>
                <w:sz w:val="21"/>
                <w:szCs w:val="21"/>
                <w:highlight w:val="none"/>
                <w:lang w:eastAsia="zh-CN"/>
              </w:rPr>
              <w:t>分</w:t>
            </w:r>
          </w:p>
        </w:tc>
        <w:tc>
          <w:tcPr>
            <w:tcW w:w="5549" w:type="dxa"/>
            <w:tcBorders>
              <w:top w:val="single" w:color="auto" w:sz="4" w:space="0"/>
            </w:tcBorders>
            <w:vAlign w:val="center"/>
          </w:tcPr>
          <w:p w14:paraId="617AD49D">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投标人具有CMMI成熟度认证证书的（须在有效期内），等级为5级得</w:t>
            </w:r>
            <w:r>
              <w:rPr>
                <w:rFonts w:hint="eastAsia" w:ascii="宋体" w:hAnsi="宋体"/>
                <w:kern w:val="2"/>
                <w:sz w:val="21"/>
                <w:szCs w:val="21"/>
                <w:highlight w:val="none"/>
                <w:lang w:val="en-US" w:eastAsia="zh-CN"/>
              </w:rPr>
              <w:t>5</w:t>
            </w:r>
            <w:r>
              <w:rPr>
                <w:rFonts w:hint="eastAsia" w:ascii="宋体" w:hAnsi="宋体"/>
                <w:kern w:val="2"/>
                <w:sz w:val="21"/>
                <w:szCs w:val="21"/>
                <w:highlight w:val="none"/>
                <w:lang w:eastAsia="zh-CN"/>
              </w:rPr>
              <w:t>分，等级为</w:t>
            </w:r>
            <w:r>
              <w:rPr>
                <w:rFonts w:hint="eastAsia" w:ascii="宋体" w:hAnsi="宋体"/>
                <w:kern w:val="2"/>
                <w:sz w:val="21"/>
                <w:szCs w:val="21"/>
                <w:highlight w:val="none"/>
                <w:lang w:val="en-US" w:eastAsia="zh-CN"/>
              </w:rPr>
              <w:t>4</w:t>
            </w:r>
            <w:r>
              <w:rPr>
                <w:rFonts w:hint="eastAsia" w:ascii="宋体" w:hAnsi="宋体"/>
                <w:kern w:val="2"/>
                <w:sz w:val="21"/>
                <w:szCs w:val="21"/>
                <w:highlight w:val="none"/>
                <w:lang w:eastAsia="zh-CN"/>
              </w:rPr>
              <w:t>级得</w:t>
            </w:r>
            <w:r>
              <w:rPr>
                <w:rFonts w:hint="eastAsia" w:ascii="宋体" w:hAnsi="宋体"/>
                <w:kern w:val="2"/>
                <w:sz w:val="21"/>
                <w:szCs w:val="21"/>
                <w:highlight w:val="none"/>
                <w:lang w:val="en-US" w:eastAsia="zh-CN"/>
              </w:rPr>
              <w:t>3</w:t>
            </w:r>
            <w:r>
              <w:rPr>
                <w:rFonts w:hint="eastAsia" w:ascii="宋体" w:hAnsi="宋体"/>
                <w:kern w:val="2"/>
                <w:sz w:val="21"/>
                <w:szCs w:val="21"/>
                <w:highlight w:val="none"/>
                <w:lang w:eastAsia="zh-CN"/>
              </w:rPr>
              <w:t>分，等级为</w:t>
            </w:r>
            <w:r>
              <w:rPr>
                <w:rFonts w:hint="eastAsia" w:ascii="宋体" w:hAnsi="宋体"/>
                <w:kern w:val="2"/>
                <w:sz w:val="21"/>
                <w:szCs w:val="21"/>
                <w:highlight w:val="none"/>
                <w:lang w:val="en-US" w:eastAsia="zh-CN"/>
              </w:rPr>
              <w:t>3</w:t>
            </w:r>
            <w:r>
              <w:rPr>
                <w:rFonts w:hint="eastAsia" w:ascii="宋体" w:hAnsi="宋体"/>
                <w:kern w:val="2"/>
                <w:sz w:val="21"/>
                <w:szCs w:val="21"/>
                <w:highlight w:val="none"/>
                <w:lang w:eastAsia="zh-CN"/>
              </w:rPr>
              <w:t>级得</w:t>
            </w:r>
            <w:r>
              <w:rPr>
                <w:rFonts w:hint="eastAsia" w:ascii="宋体" w:hAnsi="宋体"/>
                <w:kern w:val="2"/>
                <w:sz w:val="21"/>
                <w:szCs w:val="21"/>
                <w:highlight w:val="none"/>
                <w:lang w:val="en-US" w:eastAsia="zh-CN"/>
              </w:rPr>
              <w:t>1</w:t>
            </w:r>
            <w:r>
              <w:rPr>
                <w:rFonts w:hint="eastAsia" w:ascii="宋体" w:hAnsi="宋体"/>
                <w:kern w:val="2"/>
                <w:sz w:val="21"/>
                <w:szCs w:val="21"/>
                <w:highlight w:val="none"/>
                <w:lang w:eastAsia="zh-CN"/>
              </w:rPr>
              <w:t>分</w:t>
            </w:r>
            <w:r>
              <w:rPr>
                <w:rFonts w:hint="eastAsia" w:ascii="宋体" w:hAnsi="宋体"/>
                <w:kern w:val="2"/>
                <w:sz w:val="21"/>
                <w:szCs w:val="21"/>
                <w:highlight w:val="none"/>
                <w:lang w:val="en-US" w:eastAsia="zh-CN"/>
              </w:rPr>
              <w:t>。</w:t>
            </w:r>
          </w:p>
        </w:tc>
      </w:tr>
    </w:tbl>
    <w:p w14:paraId="45D5664A">
      <w:pPr>
        <w:rPr>
          <w:rFonts w:hint="eastAsia" w:ascii="宋体" w:hAnsi="宋体"/>
          <w:sz w:val="21"/>
          <w:szCs w:val="21"/>
          <w:highlight w:val="none"/>
          <w:lang w:val="zh-CN" w:eastAsia="zh-CN"/>
        </w:rPr>
      </w:pPr>
      <w:r>
        <w:rPr>
          <w:rFonts w:hint="eastAsia" w:ascii="宋体" w:hAnsi="宋体"/>
          <w:sz w:val="21"/>
          <w:szCs w:val="21"/>
          <w:highlight w:val="none"/>
          <w:lang w:val="zh-CN" w:eastAsia="zh-CN"/>
        </w:rPr>
        <w:t>注：1、第2.2.4（1）项各评委打分保留1位小数，投标人该项得分以各评委打分平均值计算所得，保留两位小数，第三位小数四舍五入。</w:t>
      </w:r>
    </w:p>
    <w:p w14:paraId="65BF6068">
      <w:r>
        <w:rPr>
          <w:rFonts w:hint="eastAsia" w:ascii="宋体" w:hAnsi="宋体"/>
          <w:sz w:val="21"/>
          <w:szCs w:val="21"/>
          <w:highlight w:val="none"/>
          <w:lang w:eastAsia="zh-CN"/>
        </w:rPr>
        <w:t>2、</w:t>
      </w:r>
      <w:r>
        <w:rPr>
          <w:rFonts w:hint="eastAsia" w:ascii="宋体" w:hAnsi="宋体"/>
          <w:sz w:val="21"/>
          <w:szCs w:val="21"/>
          <w:highlight w:val="none"/>
          <w:lang w:val="zh-CN" w:eastAsia="zh-CN"/>
        </w:rPr>
        <w:t>第2.2.4（1）项评</w:t>
      </w:r>
      <w:r>
        <w:rPr>
          <w:rFonts w:hint="eastAsia" w:ascii="宋体" w:hAnsi="宋体"/>
          <w:sz w:val="21"/>
          <w:szCs w:val="21"/>
          <w:highlight w:val="none"/>
          <w:lang w:eastAsia="zh-CN"/>
        </w:rPr>
        <w:t>分</w:t>
      </w:r>
      <w:r>
        <w:rPr>
          <w:rFonts w:hint="eastAsia" w:ascii="宋体" w:hAnsi="宋体"/>
          <w:sz w:val="21"/>
          <w:szCs w:val="21"/>
          <w:highlight w:val="none"/>
          <w:lang w:val="zh-CN" w:eastAsia="zh-CN"/>
        </w:rPr>
        <w:t>因素</w:t>
      </w:r>
      <w:r>
        <w:rPr>
          <w:rFonts w:hint="eastAsia" w:ascii="宋体" w:hAnsi="宋体"/>
          <w:sz w:val="21"/>
          <w:szCs w:val="21"/>
          <w:highlight w:val="none"/>
          <w:lang w:eastAsia="zh-CN"/>
        </w:rPr>
        <w:t>细分项</w:t>
      </w:r>
      <w:r>
        <w:rPr>
          <w:rFonts w:hint="eastAsia" w:ascii="宋体" w:hAnsi="宋体"/>
          <w:sz w:val="21"/>
          <w:szCs w:val="21"/>
          <w:highlight w:val="none"/>
          <w:lang w:val="zh-CN" w:eastAsia="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5F9F5">
    <w:pPr>
      <w:pStyle w:val="4"/>
      <w:bidi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9BF2F8">
                          <w:pPr>
                            <w:pStyle w:val="6"/>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106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Dwnz9/FAQAAkAMAAA4AAAAAAAAAAQAgAAAAHgEAAGRycy9lMm9Eb2MueG1s&#10;UEsFBgAAAAAGAAYAWQEAAFUFAAAAAA==&#10;">
              <v:fill on="f" focussize="0,0"/>
              <v:stroke on="f"/>
              <v:imagedata o:title=""/>
              <o:lock v:ext="edit" aspectratio="f"/>
              <v:textbox inset="0mm,0mm,0mm,0mm" style="mso-fit-shape-to-text:t;">
                <w:txbxContent>
                  <w:p w14:paraId="1A9BF2F8">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A075A">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83EFC"/>
    <w:rsid w:val="0A727494"/>
    <w:rsid w:val="2F8266AE"/>
    <w:rsid w:val="43AD0A8F"/>
    <w:rsid w:val="44873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宋体"/>
      <w:sz w:val="18"/>
      <w:szCs w:val="18"/>
      <w:lang w:val="en-US" w:eastAsia="en-US"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sz w:val="20"/>
      <w:szCs w:val="20"/>
    </w:rPr>
  </w:style>
  <w:style w:type="paragraph" w:styleId="6">
    <w:name w:val="footer"/>
    <w:basedOn w:val="1"/>
    <w:unhideWhenUsed/>
    <w:qFormat/>
    <w:uiPriority w:val="99"/>
    <w:pPr>
      <w:tabs>
        <w:tab w:val="center" w:pos="4153"/>
        <w:tab w:val="right" w:pos="8306"/>
      </w:tabs>
      <w:snapToGrid w:val="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22"/>
    <w:rPr>
      <w:b/>
      <w:bCs/>
    </w:rPr>
  </w:style>
  <w:style w:type="character" w:styleId="11">
    <w:name w:val="Hyperlink"/>
    <w:qFormat/>
    <w:uiPriority w:val="99"/>
    <w:rPr>
      <w:color w:val="0000FF"/>
      <w:u w:val="single"/>
    </w:rPr>
  </w:style>
  <w:style w:type="paragraph" w:customStyle="1" w:styleId="12">
    <w:name w:val="方案正文"/>
    <w:basedOn w:val="1"/>
    <w:qFormat/>
    <w:uiPriority w:val="0"/>
    <w:pPr>
      <w:spacing w:line="560" w:lineRule="exact"/>
      <w:ind w:firstLine="200" w:firstLineChars="200"/>
    </w:pPr>
    <w:rPr>
      <w:rFonts w:eastAsia="仿宋_GB2312" w:cs="黑体"/>
      <w:sz w:val="32"/>
    </w:rPr>
  </w:style>
  <w:style w:type="character" w:customStyle="1" w:styleId="13">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4">
    <w:name w:val="正文首行缩进 21"/>
    <w:basedOn w:val="15"/>
    <w:qFormat/>
    <w:uiPriority w:val="0"/>
    <w:pPr>
      <w:ind w:firstLine="420"/>
    </w:pPr>
  </w:style>
  <w:style w:type="paragraph" w:customStyle="1" w:styleId="15">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5301</Words>
  <Characters>5760</Characters>
  <Lines>0</Lines>
  <Paragraphs>0</Paragraphs>
  <TotalTime>0</TotalTime>
  <ScaleCrop>false</ScaleCrop>
  <LinksUpToDate>false</LinksUpToDate>
  <CharactersWithSpaces>5786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2026-04-02T08:44:18Z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