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278C5">
      <w:pPr>
        <w:pStyle w:val="3"/>
        <w:numPr>
          <w:ilvl w:val="0"/>
          <w:numId w:val="0"/>
        </w:numPr>
        <w:ind w:leftChars="0"/>
        <w:rPr>
          <w:rFonts w:hint="eastAsia"/>
          <w:highlight w:val="none"/>
        </w:rPr>
      </w:pPr>
      <w:bookmarkStart w:id="5" w:name="_GoBack"/>
      <w:bookmarkEnd w:id="5"/>
      <w:bookmarkStart w:id="0" w:name="_Toc7171"/>
      <w:bookmarkStart w:id="1" w:name="OLE_LINK3"/>
      <w:bookmarkStart w:id="2" w:name="OLE_LINK1"/>
      <w:r>
        <w:rPr>
          <w:rFonts w:hint="eastAsia"/>
          <w:highlight w:val="none"/>
        </w:rPr>
        <w:t>附件</w:t>
      </w:r>
      <w:r>
        <w:rPr>
          <w:highlight w:val="none"/>
        </w:rPr>
        <w:t>1</w:t>
      </w:r>
      <w:r>
        <w:rPr>
          <w:rFonts w:hint="eastAsia"/>
          <w:highlight w:val="none"/>
        </w:rPr>
        <w:t>：资格审查条件</w:t>
      </w:r>
      <w:bookmarkEnd w:id="0"/>
    </w:p>
    <w:p w14:paraId="002278C6">
      <w:pPr>
        <w:jc w:val="center"/>
        <w:rPr>
          <w:rFonts w:hint="eastAsia" w:ascii="宋体" w:hAnsi="宋体"/>
          <w:b/>
          <w:sz w:val="24"/>
          <w:szCs w:val="24"/>
          <w:highlight w:val="none"/>
        </w:rPr>
      </w:pPr>
    </w:p>
    <w:p w14:paraId="002278C7">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附录1资格审查条件（资质最低要求）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0227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002278C8">
            <w:pPr>
              <w:jc w:val="center"/>
              <w:rPr>
                <w:rFonts w:hint="eastAsia" w:ascii="宋体" w:hAnsi="宋体"/>
                <w:sz w:val="21"/>
                <w:szCs w:val="24"/>
                <w:highlight w:val="none"/>
              </w:rPr>
            </w:pPr>
            <w:r>
              <w:rPr>
                <w:rFonts w:hint="eastAsia" w:ascii="宋体" w:hAnsi="宋体"/>
                <w:sz w:val="21"/>
                <w:szCs w:val="24"/>
                <w:highlight w:val="none"/>
              </w:rPr>
              <w:t>资质等级要求</w:t>
            </w:r>
          </w:p>
        </w:tc>
      </w:tr>
      <w:tr w14:paraId="0022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8642" w:type="dxa"/>
            <w:vAlign w:val="center"/>
          </w:tcPr>
          <w:p w14:paraId="002278CA">
            <w:pPr>
              <w:snapToGrid w:val="0"/>
              <w:spacing w:line="360" w:lineRule="exact"/>
              <w:ind w:firstLine="420" w:firstLineChars="200"/>
              <w:rPr>
                <w:rFonts w:hint="eastAsia" w:ascii="宋体" w:hAnsi="宋体"/>
                <w:sz w:val="21"/>
                <w:szCs w:val="24"/>
                <w:highlight w:val="none"/>
                <w:lang w:eastAsia="zh-CN"/>
              </w:rPr>
            </w:pPr>
            <w:r>
              <w:rPr>
                <w:rFonts w:hint="eastAsia" w:ascii="宋体" w:hAnsi="宋体"/>
                <w:sz w:val="21"/>
                <w:szCs w:val="24"/>
                <w:highlight w:val="none"/>
                <w:lang w:eastAsia="zh-CN"/>
              </w:rPr>
              <w:t>1.投标人应是中华人民共和国境内的法人或其他组织，持有有效的营业执照；</w:t>
            </w:r>
          </w:p>
          <w:p w14:paraId="002278CB">
            <w:pPr>
              <w:pStyle w:val="11"/>
              <w:snapToGrid w:val="0"/>
              <w:spacing w:line="360" w:lineRule="exact"/>
              <w:ind w:firstLine="420"/>
              <w:rPr>
                <w:highlight w:val="none"/>
                <w:lang w:eastAsia="zh-CN"/>
              </w:rPr>
            </w:pPr>
            <w:r>
              <w:rPr>
                <w:rFonts w:hint="eastAsia" w:ascii="宋体" w:hAnsi="宋体" w:eastAsia="宋体" w:cs="宋体"/>
                <w:sz w:val="21"/>
                <w:szCs w:val="21"/>
                <w:highlight w:val="none"/>
                <w:lang w:eastAsia="zh-CN"/>
              </w:rPr>
              <w:t>2.具有中国合格评定国家认可委员会实验室认可证书（CNAS）或具有有效的检验检测机构资质认定证书（CMA）</w:t>
            </w:r>
          </w:p>
        </w:tc>
      </w:tr>
    </w:tbl>
    <w:p w14:paraId="002278CD">
      <w:pPr>
        <w:snapToGrid w:val="0"/>
        <w:rPr>
          <w:rFonts w:hint="eastAsia" w:ascii="宋体" w:hAnsi="宋体"/>
          <w:sz w:val="24"/>
          <w:szCs w:val="24"/>
          <w:highlight w:val="none"/>
          <w:lang w:eastAsia="zh-CN"/>
        </w:rPr>
      </w:pPr>
    </w:p>
    <w:p w14:paraId="002278CE">
      <w:pPr>
        <w:pStyle w:val="11"/>
        <w:snapToGrid w:val="0"/>
        <w:spacing w:line="240" w:lineRule="auto"/>
        <w:ind w:firstLine="640"/>
        <w:rPr>
          <w:highlight w:val="none"/>
          <w:lang w:eastAsia="zh-CN"/>
        </w:rPr>
      </w:pPr>
    </w:p>
    <w:p w14:paraId="002278CF">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附录2资格审查条件（业绩最低要求）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022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002278D0">
            <w:pPr>
              <w:jc w:val="center"/>
              <w:rPr>
                <w:rFonts w:hint="eastAsia" w:ascii="宋体" w:hAnsi="宋体"/>
                <w:sz w:val="21"/>
                <w:szCs w:val="21"/>
                <w:highlight w:val="none"/>
              </w:rPr>
            </w:pPr>
            <w:r>
              <w:rPr>
                <w:rFonts w:hint="eastAsia" w:ascii="宋体" w:hAnsi="宋体"/>
                <w:sz w:val="21"/>
                <w:szCs w:val="21"/>
                <w:highlight w:val="none"/>
              </w:rPr>
              <w:t>业绩要求</w:t>
            </w:r>
          </w:p>
        </w:tc>
      </w:tr>
      <w:tr w14:paraId="00227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8642" w:type="dxa"/>
            <w:vAlign w:val="center"/>
          </w:tcPr>
          <w:p w14:paraId="002278D2">
            <w:pPr>
              <w:snapToGrid w:val="0"/>
              <w:spacing w:line="360" w:lineRule="exact"/>
              <w:ind w:firstLine="420" w:firstLineChars="200"/>
              <w:rPr>
                <w:rFonts w:hint="eastAsia" w:ascii="宋体" w:hAnsi="宋体"/>
                <w:strike/>
                <w:sz w:val="21"/>
                <w:szCs w:val="21"/>
                <w:highlight w:val="none"/>
                <w:lang w:eastAsia="zh-CN"/>
              </w:rPr>
            </w:pPr>
            <w:r>
              <w:rPr>
                <w:rFonts w:hint="eastAsia" w:ascii="宋体" w:hAnsi="宋体"/>
                <w:sz w:val="21"/>
                <w:szCs w:val="21"/>
                <w:highlight w:val="none"/>
                <w:lang w:eastAsia="zh-CN"/>
              </w:rPr>
              <w:t>近3年（2023年4月1日至投标截止时间，以合同签订时间为准），至少承担过1项软件测评服务</w:t>
            </w:r>
            <w:r>
              <w:rPr>
                <w:rFonts w:hint="eastAsia" w:ascii="宋体" w:hAnsi="宋体"/>
                <w:sz w:val="21"/>
                <w:szCs w:val="21"/>
                <w:highlight w:val="none"/>
                <w:lang w:val="en-US" w:eastAsia="zh-CN"/>
              </w:rPr>
              <w:t>项目</w:t>
            </w:r>
            <w:r>
              <w:rPr>
                <w:rFonts w:hint="eastAsia" w:ascii="宋体" w:hAnsi="宋体"/>
                <w:sz w:val="21"/>
                <w:szCs w:val="21"/>
                <w:highlight w:val="none"/>
                <w:lang w:eastAsia="zh-CN"/>
              </w:rPr>
              <w:t>。</w:t>
            </w:r>
          </w:p>
        </w:tc>
      </w:tr>
    </w:tbl>
    <w:p w14:paraId="002278D4">
      <w:pPr>
        <w:snapToGrid w:val="0"/>
        <w:rPr>
          <w:rFonts w:hint="eastAsia" w:ascii="宋体" w:hAnsi="宋体"/>
          <w:sz w:val="24"/>
          <w:szCs w:val="24"/>
          <w:highlight w:val="none"/>
          <w:lang w:eastAsia="zh-CN"/>
        </w:rPr>
      </w:pPr>
    </w:p>
    <w:p w14:paraId="002278D5">
      <w:pPr>
        <w:pStyle w:val="11"/>
        <w:snapToGrid w:val="0"/>
        <w:spacing w:line="240" w:lineRule="auto"/>
        <w:ind w:firstLine="640"/>
        <w:rPr>
          <w:highlight w:val="none"/>
          <w:lang w:eastAsia="zh-CN"/>
        </w:rPr>
      </w:pPr>
    </w:p>
    <w:p w14:paraId="002278D6">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附录3资格审查条件（信誉最低要求）</w:t>
      </w:r>
    </w:p>
    <w:tbl>
      <w:tblPr>
        <w:tblStyle w:val="8"/>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0022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002278D7">
            <w:pPr>
              <w:jc w:val="center"/>
              <w:rPr>
                <w:rFonts w:hint="eastAsia" w:ascii="宋体" w:hAnsi="宋体"/>
                <w:sz w:val="21"/>
                <w:szCs w:val="21"/>
                <w:highlight w:val="none"/>
              </w:rPr>
            </w:pPr>
            <w:r>
              <w:rPr>
                <w:rFonts w:hint="eastAsia" w:ascii="宋体" w:hAnsi="宋体"/>
                <w:sz w:val="21"/>
                <w:szCs w:val="21"/>
                <w:highlight w:val="none"/>
              </w:rPr>
              <w:t>信誉要求</w:t>
            </w:r>
          </w:p>
        </w:tc>
      </w:tr>
      <w:tr w14:paraId="0022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8642" w:type="dxa"/>
            <w:vAlign w:val="center"/>
          </w:tcPr>
          <w:p w14:paraId="002278D9">
            <w:pPr>
              <w:snapToGrid w:val="0"/>
              <w:spacing w:line="36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投标人在过去1年中（2025年4月1日至投标截止时间）不曾在软件测评服务合同中违约而被逐或因投标人自身的原因而使软件测评服务合同被解除。</w:t>
            </w:r>
          </w:p>
        </w:tc>
      </w:tr>
    </w:tbl>
    <w:p w14:paraId="002278DB">
      <w:pPr>
        <w:snapToGrid w:val="0"/>
        <w:rPr>
          <w:rFonts w:hint="eastAsia" w:ascii="宋体" w:hAnsi="宋体"/>
          <w:sz w:val="24"/>
          <w:szCs w:val="24"/>
          <w:highlight w:val="none"/>
          <w:lang w:eastAsia="zh-CN"/>
        </w:rPr>
      </w:pPr>
    </w:p>
    <w:p w14:paraId="002278DC">
      <w:pPr>
        <w:pStyle w:val="11"/>
        <w:snapToGrid w:val="0"/>
        <w:spacing w:line="240" w:lineRule="auto"/>
        <w:ind w:firstLine="640"/>
        <w:rPr>
          <w:highlight w:val="none"/>
          <w:lang w:eastAsia="zh-CN"/>
        </w:rPr>
      </w:pPr>
    </w:p>
    <w:p w14:paraId="002278DD">
      <w:pPr>
        <w:jc w:val="center"/>
        <w:rPr>
          <w:rFonts w:hint="eastAsia" w:ascii="宋体" w:hAnsi="宋体"/>
          <w:b/>
          <w:sz w:val="24"/>
          <w:szCs w:val="24"/>
          <w:highlight w:val="none"/>
          <w:lang w:eastAsia="zh-CN"/>
        </w:rPr>
      </w:pPr>
      <w:r>
        <w:rPr>
          <w:rFonts w:hint="eastAsia" w:ascii="宋体" w:hAnsi="宋体"/>
          <w:b/>
          <w:sz w:val="24"/>
          <w:szCs w:val="24"/>
          <w:highlight w:val="none"/>
          <w:lang w:eastAsia="zh-CN"/>
        </w:rPr>
        <w:t>附录4资格审查条件（</w:t>
      </w:r>
      <w:r>
        <w:rPr>
          <w:rFonts w:hint="eastAsia" w:ascii="宋体" w:hAnsi="宋体" w:cs="Arial"/>
          <w:b/>
          <w:bCs/>
          <w:spacing w:val="15"/>
          <w:sz w:val="24"/>
          <w:highlight w:val="none"/>
          <w:lang w:eastAsia="zh-CN"/>
        </w:rPr>
        <w:t>项目负责人</w:t>
      </w:r>
      <w:r>
        <w:rPr>
          <w:rFonts w:hint="eastAsia" w:ascii="宋体" w:hAnsi="宋体"/>
          <w:b/>
          <w:sz w:val="24"/>
          <w:szCs w:val="24"/>
          <w:highlight w:val="none"/>
          <w:lang w:eastAsia="zh-CN"/>
        </w:rPr>
        <w:t>最低要求）</w:t>
      </w:r>
    </w:p>
    <w:tbl>
      <w:tblPr>
        <w:tblStyle w:val="8"/>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0022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002278DE">
            <w:pPr>
              <w:jc w:val="center"/>
              <w:rPr>
                <w:rFonts w:hint="eastAsia" w:ascii="宋体" w:hAnsi="宋体"/>
                <w:sz w:val="21"/>
                <w:szCs w:val="21"/>
                <w:highlight w:val="none"/>
              </w:rPr>
            </w:pPr>
            <w:r>
              <w:rPr>
                <w:rFonts w:hint="eastAsia" w:ascii="宋体" w:hAnsi="宋体"/>
                <w:sz w:val="21"/>
                <w:szCs w:val="21"/>
                <w:highlight w:val="none"/>
              </w:rPr>
              <w:t>人员</w:t>
            </w:r>
          </w:p>
        </w:tc>
        <w:tc>
          <w:tcPr>
            <w:tcW w:w="810" w:type="dxa"/>
            <w:vAlign w:val="center"/>
          </w:tcPr>
          <w:p w14:paraId="002278DF">
            <w:pPr>
              <w:jc w:val="center"/>
              <w:rPr>
                <w:rFonts w:hint="eastAsia" w:ascii="宋体" w:hAnsi="宋体"/>
                <w:sz w:val="21"/>
                <w:szCs w:val="21"/>
                <w:highlight w:val="none"/>
              </w:rPr>
            </w:pPr>
            <w:r>
              <w:rPr>
                <w:rFonts w:hint="eastAsia" w:ascii="宋体" w:hAnsi="宋体"/>
                <w:sz w:val="21"/>
                <w:szCs w:val="21"/>
                <w:highlight w:val="none"/>
              </w:rPr>
              <w:t>数量</w:t>
            </w:r>
          </w:p>
        </w:tc>
        <w:tc>
          <w:tcPr>
            <w:tcW w:w="6521" w:type="dxa"/>
            <w:vAlign w:val="center"/>
          </w:tcPr>
          <w:p w14:paraId="002278E0">
            <w:pPr>
              <w:jc w:val="center"/>
              <w:rPr>
                <w:rFonts w:hint="eastAsia" w:ascii="宋体" w:hAnsi="宋体"/>
                <w:sz w:val="21"/>
                <w:szCs w:val="21"/>
                <w:highlight w:val="none"/>
              </w:rPr>
            </w:pPr>
            <w:r>
              <w:rPr>
                <w:rFonts w:hint="eastAsia" w:ascii="宋体" w:hAnsi="宋体"/>
                <w:sz w:val="21"/>
                <w:szCs w:val="21"/>
                <w:highlight w:val="none"/>
              </w:rPr>
              <w:t>资格要求</w:t>
            </w:r>
          </w:p>
        </w:tc>
      </w:tr>
      <w:tr w14:paraId="0022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trPr>
        <w:tc>
          <w:tcPr>
            <w:tcW w:w="1340" w:type="dxa"/>
            <w:vAlign w:val="center"/>
          </w:tcPr>
          <w:p w14:paraId="002278E2">
            <w:pPr>
              <w:jc w:val="center"/>
              <w:rPr>
                <w:rFonts w:hint="eastAsia" w:ascii="宋体" w:hAnsi="宋体"/>
                <w:sz w:val="21"/>
                <w:szCs w:val="21"/>
                <w:highlight w:val="none"/>
                <w:lang w:eastAsia="zh-CN"/>
              </w:rPr>
            </w:pPr>
            <w:r>
              <w:rPr>
                <w:rFonts w:hint="eastAsia" w:ascii="宋体" w:hAnsi="宋体"/>
                <w:sz w:val="21"/>
                <w:szCs w:val="21"/>
                <w:highlight w:val="none"/>
                <w:lang w:eastAsia="zh-CN"/>
              </w:rPr>
              <w:t>项目负责人</w:t>
            </w:r>
          </w:p>
        </w:tc>
        <w:tc>
          <w:tcPr>
            <w:tcW w:w="810" w:type="dxa"/>
            <w:vAlign w:val="center"/>
          </w:tcPr>
          <w:p w14:paraId="002278E3">
            <w:pPr>
              <w:jc w:val="center"/>
              <w:rPr>
                <w:rFonts w:hint="eastAsia" w:ascii="宋体" w:hAnsi="宋体"/>
                <w:sz w:val="21"/>
                <w:szCs w:val="21"/>
                <w:highlight w:val="none"/>
                <w:lang w:eastAsia="zh-CN"/>
              </w:rPr>
            </w:pPr>
            <w:r>
              <w:rPr>
                <w:rFonts w:hint="eastAsia" w:ascii="宋体" w:hAnsi="宋体"/>
                <w:sz w:val="21"/>
                <w:szCs w:val="21"/>
                <w:highlight w:val="none"/>
                <w:lang w:eastAsia="zh-CN"/>
              </w:rPr>
              <w:t>1</w:t>
            </w:r>
          </w:p>
        </w:tc>
        <w:tc>
          <w:tcPr>
            <w:tcW w:w="6521" w:type="dxa"/>
            <w:vAlign w:val="center"/>
          </w:tcPr>
          <w:p w14:paraId="1071D216">
            <w:pPr>
              <w:rPr>
                <w:rFonts w:hint="eastAsia" w:ascii="宋体" w:hAnsi="宋体"/>
                <w:sz w:val="21"/>
                <w:szCs w:val="21"/>
                <w:highlight w:val="none"/>
                <w:lang w:eastAsia="zh-CN"/>
              </w:rPr>
            </w:pPr>
            <w:r>
              <w:rPr>
                <w:rFonts w:hint="eastAsia" w:ascii="宋体" w:hAnsi="宋体"/>
                <w:sz w:val="21"/>
                <w:szCs w:val="21"/>
                <w:highlight w:val="none"/>
                <w:lang w:eastAsia="zh-CN"/>
              </w:rPr>
              <w:t>具</w:t>
            </w:r>
            <w:r>
              <w:rPr>
                <w:rFonts w:hint="eastAsia" w:ascii="宋体" w:hAnsi="宋体"/>
                <w:sz w:val="21"/>
                <w:szCs w:val="21"/>
                <w:highlight w:val="none"/>
                <w:lang w:val="en-US" w:eastAsia="zh-CN"/>
              </w:rPr>
              <w:t>备</w:t>
            </w:r>
            <w:r>
              <w:rPr>
                <w:rFonts w:hint="eastAsia" w:ascii="宋体" w:hAnsi="宋体"/>
                <w:sz w:val="21"/>
                <w:szCs w:val="21"/>
                <w:highlight w:val="none"/>
                <w:lang w:eastAsia="zh-CN"/>
              </w:rPr>
              <w:t>高级及以上职称（</w:t>
            </w:r>
            <w:r>
              <w:rPr>
                <w:rFonts w:hint="eastAsia" w:ascii="宋体" w:hAnsi="宋体"/>
                <w:sz w:val="21"/>
                <w:szCs w:val="21"/>
                <w:highlight w:val="none"/>
                <w:lang w:val="en-US" w:eastAsia="zh-CN"/>
              </w:rPr>
              <w:t>电子信息工程或计算机相关专业</w:t>
            </w:r>
            <w:r>
              <w:rPr>
                <w:rFonts w:hint="eastAsia" w:ascii="宋体" w:hAnsi="宋体"/>
                <w:sz w:val="21"/>
                <w:szCs w:val="21"/>
                <w:highlight w:val="none"/>
                <w:lang w:eastAsia="zh-CN"/>
              </w:rPr>
              <w:t>）</w:t>
            </w:r>
          </w:p>
          <w:p w14:paraId="002278E5">
            <w:pPr>
              <w:rPr>
                <w:rFonts w:hint="eastAsia" w:ascii="宋体" w:hAnsi="宋体"/>
                <w:sz w:val="21"/>
                <w:szCs w:val="21"/>
                <w:highlight w:val="none"/>
                <w:lang w:eastAsia="zh-CN"/>
              </w:rPr>
            </w:pPr>
            <w:r>
              <w:rPr>
                <w:rFonts w:hint="eastAsia" w:eastAsia="宋体"/>
                <w:color w:val="auto"/>
                <w:sz w:val="21"/>
                <w:szCs w:val="21"/>
                <w:highlight w:val="none"/>
                <w:lang w:eastAsia="zh-CN"/>
              </w:rPr>
              <w:t>近</w:t>
            </w:r>
            <w:r>
              <w:rPr>
                <w:rFonts w:hint="eastAsia" w:eastAsia="宋体"/>
                <w:color w:val="auto"/>
                <w:sz w:val="21"/>
                <w:szCs w:val="21"/>
                <w:highlight w:val="none"/>
                <w:lang w:val="en-US" w:eastAsia="zh-CN"/>
              </w:rPr>
              <w:t>3</w:t>
            </w:r>
            <w:r>
              <w:rPr>
                <w:rFonts w:hint="eastAsia" w:eastAsia="宋体"/>
                <w:color w:val="auto"/>
                <w:sz w:val="21"/>
                <w:szCs w:val="21"/>
                <w:highlight w:val="none"/>
                <w:lang w:eastAsia="zh-CN"/>
              </w:rPr>
              <w:t>年（20</w:t>
            </w:r>
            <w:r>
              <w:rPr>
                <w:rFonts w:hint="eastAsia" w:eastAsia="宋体"/>
                <w:color w:val="auto"/>
                <w:sz w:val="21"/>
                <w:szCs w:val="21"/>
                <w:highlight w:val="none"/>
                <w:lang w:val="en-US" w:eastAsia="zh-CN"/>
              </w:rPr>
              <w:t>23</w:t>
            </w:r>
            <w:r>
              <w:rPr>
                <w:rFonts w:hint="eastAsia" w:eastAsia="宋体"/>
                <w:color w:val="auto"/>
                <w:sz w:val="21"/>
                <w:szCs w:val="21"/>
                <w:highlight w:val="none"/>
                <w:lang w:eastAsia="zh-CN"/>
              </w:rPr>
              <w:t>年</w:t>
            </w:r>
            <w:r>
              <w:rPr>
                <w:rFonts w:hint="eastAsia"/>
                <w:color w:val="auto"/>
                <w:sz w:val="21"/>
                <w:szCs w:val="21"/>
                <w:highlight w:val="none"/>
                <w:lang w:val="en-US" w:eastAsia="zh-CN"/>
              </w:rPr>
              <w:t>4月</w:t>
            </w:r>
            <w:r>
              <w:rPr>
                <w:rFonts w:hint="eastAsia" w:eastAsia="宋体"/>
                <w:color w:val="auto"/>
                <w:sz w:val="21"/>
                <w:szCs w:val="21"/>
                <w:highlight w:val="none"/>
                <w:lang w:eastAsia="zh-CN"/>
              </w:rPr>
              <w:t>1日至投标截止时间，以合同签订时间为准），至少担任过1项</w:t>
            </w:r>
            <w:r>
              <w:rPr>
                <w:rFonts w:hint="eastAsia" w:ascii="宋体" w:hAnsi="宋体"/>
                <w:kern w:val="0"/>
                <w:sz w:val="21"/>
                <w:szCs w:val="21"/>
                <w:highlight w:val="none"/>
                <w:lang w:eastAsia="zh-CN"/>
              </w:rPr>
              <w:t>软件</w:t>
            </w:r>
            <w:r>
              <w:rPr>
                <w:rFonts w:hint="eastAsia" w:ascii="宋体" w:hAnsi="宋体"/>
                <w:kern w:val="0"/>
                <w:sz w:val="21"/>
                <w:szCs w:val="21"/>
                <w:highlight w:val="none"/>
                <w:lang w:val="en-US" w:eastAsia="zh-CN"/>
              </w:rPr>
              <w:t>测评服务</w:t>
            </w:r>
            <w:r>
              <w:rPr>
                <w:rFonts w:hint="eastAsia" w:eastAsia="宋体"/>
                <w:color w:val="auto"/>
                <w:sz w:val="21"/>
                <w:szCs w:val="21"/>
                <w:highlight w:val="none"/>
                <w:lang w:eastAsia="zh-CN"/>
              </w:rPr>
              <w:t>的项目负责人</w:t>
            </w:r>
            <w:r>
              <w:rPr>
                <w:rFonts w:hint="eastAsia"/>
                <w:sz w:val="21"/>
                <w:szCs w:val="21"/>
                <w:highlight w:val="none"/>
                <w:lang w:eastAsia="zh-CN"/>
              </w:rPr>
              <w:t>（或项目经理或技术负责人）</w:t>
            </w:r>
            <w:r>
              <w:rPr>
                <w:rFonts w:hint="eastAsia" w:eastAsia="宋体"/>
                <w:color w:val="auto"/>
                <w:sz w:val="21"/>
                <w:szCs w:val="21"/>
                <w:highlight w:val="none"/>
                <w:lang w:eastAsia="zh-CN"/>
              </w:rPr>
              <w:t>。</w:t>
            </w:r>
          </w:p>
        </w:tc>
      </w:tr>
    </w:tbl>
    <w:p w14:paraId="002278E7">
      <w:pPr>
        <w:pStyle w:val="3"/>
        <w:snapToGrid w:val="0"/>
        <w:spacing w:before="156" w:beforeLines="50" w:after="156" w:afterLines="50" w:line="240" w:lineRule="auto"/>
        <w:rPr>
          <w:rFonts w:hint="eastAsia" w:ascii="黑体" w:eastAsia="黑体"/>
          <w:spacing w:val="-8"/>
          <w:highlight w:val="none"/>
          <w:lang w:eastAsia="zh-CN"/>
        </w:rPr>
        <w:sectPr>
          <w:footerReference r:id="rId4" w:type="first"/>
          <w:footerReference r:id="rId3" w:type="default"/>
          <w:pgSz w:w="11906" w:h="16838"/>
          <w:pgMar w:top="1440" w:right="1463" w:bottom="1440" w:left="1463" w:header="851" w:footer="992" w:gutter="0"/>
          <w:cols w:space="0" w:num="1"/>
          <w:docGrid w:type="lines" w:linePitch="312" w:charSpace="0"/>
        </w:sectPr>
      </w:pPr>
      <w:r>
        <w:rPr>
          <w:rFonts w:ascii="黑体" w:eastAsia="黑体"/>
          <w:spacing w:val="-8"/>
          <w:highlight w:val="none"/>
          <w:lang w:eastAsia="zh-CN"/>
        </w:rPr>
        <w:br w:type="page"/>
      </w:r>
      <w:bookmarkStart w:id="3" w:name="_Toc24234"/>
    </w:p>
    <w:bookmarkEnd w:id="1"/>
    <w:bookmarkEnd w:id="2"/>
    <w:bookmarkEnd w:id="3"/>
    <w:p w14:paraId="002278E8">
      <w:pPr>
        <w:pStyle w:val="3"/>
        <w:numPr>
          <w:ilvl w:val="0"/>
          <w:numId w:val="0"/>
        </w:numPr>
        <w:snapToGrid w:val="0"/>
        <w:spacing w:before="156" w:beforeLines="50" w:after="156" w:afterLines="50" w:line="240" w:lineRule="auto"/>
        <w:ind w:left="138" w:leftChars="0"/>
        <w:rPr>
          <w:rFonts w:hint="eastAsia"/>
          <w:sz w:val="28"/>
          <w:szCs w:val="28"/>
          <w:highlight w:val="none"/>
          <w:lang w:eastAsia="zh-CN"/>
        </w:rPr>
      </w:pPr>
      <w:r>
        <w:rPr>
          <w:spacing w:val="-6"/>
          <w:sz w:val="28"/>
          <w:szCs w:val="28"/>
          <w:highlight w:val="none"/>
          <w:lang w:eastAsia="zh-CN"/>
        </w:rPr>
        <w:t>附件</w:t>
      </w:r>
      <w:r>
        <w:rPr>
          <w:rFonts w:hint="eastAsia" w:ascii="Times New Roman" w:hAnsi="Times New Roman" w:cs="Times New Roman"/>
          <w:spacing w:val="-6"/>
          <w:sz w:val="28"/>
          <w:szCs w:val="28"/>
          <w:highlight w:val="none"/>
          <w:lang w:eastAsia="zh-CN"/>
        </w:rPr>
        <w:t>2</w:t>
      </w:r>
      <w:r>
        <w:rPr>
          <w:spacing w:val="-6"/>
          <w:sz w:val="28"/>
          <w:szCs w:val="28"/>
          <w:highlight w:val="none"/>
          <w:lang w:eastAsia="zh-CN"/>
        </w:rPr>
        <w:t>：评标办法</w:t>
      </w:r>
    </w:p>
    <w:p w14:paraId="002278E9">
      <w:pPr>
        <w:spacing w:before="203" w:line="218" w:lineRule="auto"/>
        <w:ind w:left="3562"/>
        <w:rPr>
          <w:rFonts w:hint="eastAsia" w:ascii="宋体" w:hAnsi="宋体"/>
          <w:sz w:val="24"/>
          <w:szCs w:val="24"/>
          <w:highlight w:val="none"/>
          <w:lang w:eastAsia="zh-CN"/>
        </w:rPr>
      </w:pPr>
      <w:r>
        <w:rPr>
          <w:rFonts w:ascii="宋体" w:hAnsi="宋体"/>
          <w:b/>
          <w:bCs/>
          <w:spacing w:val="-3"/>
          <w:sz w:val="24"/>
          <w:szCs w:val="24"/>
          <w:highlight w:val="none"/>
          <w:lang w:eastAsia="zh-CN"/>
        </w:rPr>
        <w:t>评标办法（</w:t>
      </w:r>
      <w:r>
        <w:rPr>
          <w:rFonts w:hint="eastAsia" w:ascii="宋体" w:hAnsi="宋体"/>
          <w:b/>
          <w:bCs/>
          <w:spacing w:val="-3"/>
          <w:sz w:val="24"/>
          <w:szCs w:val="24"/>
          <w:highlight w:val="none"/>
          <w:lang w:eastAsia="zh-CN"/>
        </w:rPr>
        <w:t>综合评估法</w:t>
      </w:r>
      <w:r>
        <w:rPr>
          <w:rFonts w:ascii="宋体" w:hAnsi="宋体"/>
          <w:b/>
          <w:bCs/>
          <w:spacing w:val="-3"/>
          <w:sz w:val="24"/>
          <w:szCs w:val="24"/>
          <w:highlight w:val="none"/>
          <w:lang w:eastAsia="zh-CN"/>
        </w:rPr>
        <w:t>）</w:t>
      </w:r>
    </w:p>
    <w:p w14:paraId="002278EA">
      <w:pPr>
        <w:spacing w:before="181" w:line="219" w:lineRule="auto"/>
        <w:ind w:left="113"/>
        <w:rPr>
          <w:rFonts w:hint="eastAsia" w:ascii="宋体" w:hAnsi="宋体"/>
          <w:sz w:val="24"/>
          <w:szCs w:val="24"/>
          <w:highlight w:val="none"/>
        </w:rPr>
      </w:pPr>
      <w:r>
        <w:rPr>
          <w:rFonts w:ascii="宋体" w:hAnsi="宋体"/>
          <w:b/>
          <w:bCs/>
          <w:spacing w:val="-4"/>
          <w:sz w:val="24"/>
          <w:szCs w:val="24"/>
          <w:highlight w:val="none"/>
        </w:rPr>
        <w:t>评标办法前附表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44"/>
        <w:gridCol w:w="6956"/>
        <w:gridCol w:w="18"/>
      </w:tblGrid>
      <w:tr w14:paraId="0022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8" w:type="pct"/>
            <w:gridSpan w:val="2"/>
            <w:vAlign w:val="center"/>
          </w:tcPr>
          <w:p w14:paraId="002278EB">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条款号</w:t>
            </w:r>
          </w:p>
        </w:tc>
        <w:tc>
          <w:tcPr>
            <w:tcW w:w="3791" w:type="pct"/>
            <w:gridSpan w:val="2"/>
            <w:vAlign w:val="center"/>
          </w:tcPr>
          <w:p w14:paraId="002278EC">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评审因素与评审标准</w:t>
            </w:r>
          </w:p>
        </w:tc>
      </w:tr>
      <w:tr w14:paraId="0022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002278EE">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1</w:t>
            </w:r>
          </w:p>
        </w:tc>
        <w:tc>
          <w:tcPr>
            <w:tcW w:w="785" w:type="pct"/>
            <w:vAlign w:val="center"/>
          </w:tcPr>
          <w:p w14:paraId="002278E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评标方法</w:t>
            </w:r>
          </w:p>
        </w:tc>
        <w:tc>
          <w:tcPr>
            <w:tcW w:w="3782" w:type="pct"/>
            <w:vAlign w:val="center"/>
          </w:tcPr>
          <w:p w14:paraId="002278F0">
            <w:pPr>
              <w:snapToGrid w:val="0"/>
              <w:spacing w:line="320" w:lineRule="exact"/>
              <w:ind w:firstLine="404" w:firstLineChars="200"/>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002278F1">
            <w:pPr>
              <w:snapToGrid w:val="0"/>
              <w:spacing w:line="320" w:lineRule="exact"/>
              <w:ind w:left="176" w:leftChars="97" w:hanging="1"/>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（1）评标价低的投标人优先；</w:t>
            </w:r>
          </w:p>
          <w:p w14:paraId="002278F2">
            <w:pPr>
              <w:snapToGrid w:val="0"/>
              <w:spacing w:line="320" w:lineRule="exact"/>
              <w:ind w:left="176" w:leftChars="97" w:hanging="1"/>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（2）实施方案得分较高的投标人优先；</w:t>
            </w:r>
          </w:p>
          <w:p w14:paraId="61F3D475">
            <w:pPr>
              <w:snapToGrid w:val="0"/>
              <w:spacing w:line="320" w:lineRule="exact"/>
              <w:ind w:firstLine="202" w:firstLineChars="100"/>
              <w:rPr>
                <w:rFonts w:hint="eastAsia" w:ascii="宋体" w:hAnsi="宋体"/>
                <w:spacing w:val="-4"/>
                <w:sz w:val="21"/>
                <w:szCs w:val="21"/>
                <w:highlight w:val="none"/>
                <w:lang w:eastAsia="zh-CN"/>
              </w:rPr>
            </w:pPr>
            <w:r>
              <w:rPr>
                <w:rFonts w:hint="eastAsia" w:ascii="宋体" w:hAnsi="宋体"/>
                <w:spacing w:val="-4"/>
                <w:sz w:val="21"/>
                <w:szCs w:val="21"/>
                <w:highlight w:val="none"/>
                <w:lang w:eastAsia="zh-CN"/>
              </w:rPr>
              <w:t>（3）投标人满足资格审查条件（业绩最低条件）要求的业绩金额累计较高的优先。</w:t>
            </w:r>
          </w:p>
          <w:p w14:paraId="002278F3">
            <w:pPr>
              <w:snapToGrid w:val="0"/>
              <w:spacing w:line="320" w:lineRule="exact"/>
              <w:ind w:firstLine="210" w:firstLineChars="100"/>
              <w:rPr>
                <w:rFonts w:hint="default" w:ascii="宋体" w:hAnsi="宋体"/>
                <w:sz w:val="21"/>
                <w:szCs w:val="21"/>
                <w:highlight w:val="none"/>
                <w:lang w:val="en-US" w:eastAsia="zh-CN"/>
              </w:rPr>
            </w:pPr>
            <w:r>
              <w:rPr>
                <w:rFonts w:hint="eastAsia" w:ascii="宋体" w:hAnsi="宋体"/>
                <w:sz w:val="21"/>
                <w:szCs w:val="21"/>
                <w:highlight w:val="none"/>
                <w:lang w:eastAsia="zh-CN"/>
              </w:rPr>
              <w:t>与本项目</w:t>
            </w:r>
            <w:r>
              <w:rPr>
                <w:rFonts w:hint="eastAsia" w:ascii="宋体" w:hAnsi="宋体"/>
                <w:sz w:val="21"/>
                <w:szCs w:val="21"/>
                <w:highlight w:val="none"/>
                <w:lang w:val="en-US" w:eastAsia="zh-CN"/>
              </w:rPr>
              <w:t>开发单位</w:t>
            </w:r>
            <w:r>
              <w:rPr>
                <w:rFonts w:hint="eastAsia" w:ascii="宋体" w:hAnsi="宋体"/>
                <w:sz w:val="21"/>
                <w:szCs w:val="21"/>
                <w:highlight w:val="none"/>
                <w:lang w:eastAsia="zh-CN"/>
              </w:rPr>
              <w:t>存在利害关系或单位负责人为同一人或存在控股、管理关系的不同单位，</w:t>
            </w:r>
            <w:r>
              <w:rPr>
                <w:rFonts w:hint="eastAsia" w:ascii="宋体" w:hAnsi="宋体"/>
                <w:sz w:val="21"/>
                <w:szCs w:val="21"/>
                <w:highlight w:val="none"/>
                <w:lang w:val="en-US" w:eastAsia="zh-CN"/>
              </w:rPr>
              <w:t>不推荐为本项目中标候选人。</w:t>
            </w:r>
          </w:p>
        </w:tc>
      </w:tr>
      <w:tr w14:paraId="00227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002278F5">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2.1.1</w:t>
            </w:r>
          </w:p>
          <w:p w14:paraId="002278F6">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2.1.3</w:t>
            </w:r>
          </w:p>
        </w:tc>
        <w:tc>
          <w:tcPr>
            <w:tcW w:w="785" w:type="pct"/>
            <w:vAlign w:val="center"/>
          </w:tcPr>
          <w:p w14:paraId="002278F7">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形式评审与响应性评审标准</w:t>
            </w:r>
          </w:p>
        </w:tc>
        <w:tc>
          <w:tcPr>
            <w:tcW w:w="3782" w:type="pct"/>
          </w:tcPr>
          <w:p w14:paraId="002278F8">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第一个信封（商务文件）评审标准：</w:t>
            </w:r>
          </w:p>
          <w:p w14:paraId="002278F9">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（1）投标文件按照招标文件规定的格式、内容填写，字迹清晰可辨：</w:t>
            </w:r>
          </w:p>
          <w:p w14:paraId="002278FA">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a.投标函按招标文件规定填报了项目名称、补遗书编号（如有）、</w:t>
            </w:r>
            <w:r>
              <w:rPr>
                <w:rFonts w:hint="eastAsia" w:ascii="宋体" w:hAnsi="宋体"/>
                <w:sz w:val="21"/>
                <w:szCs w:val="21"/>
                <w:highlight w:val="none"/>
                <w:lang w:eastAsia="zh-CN"/>
              </w:rPr>
              <w:t>项目负责人</w:t>
            </w:r>
            <w:r>
              <w:rPr>
                <w:rFonts w:hint="eastAsia" w:ascii="宋体" w:hAnsi="宋体"/>
                <w:bCs/>
                <w:sz w:val="21"/>
                <w:szCs w:val="21"/>
                <w:highlight w:val="none"/>
                <w:lang w:eastAsia="zh-CN"/>
              </w:rPr>
              <w:t>、服务期限、质量要求、安全目标；</w:t>
            </w:r>
          </w:p>
          <w:p w14:paraId="002278FB">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b.投标文件组成齐全完整，内容均按规定填写。</w:t>
            </w:r>
          </w:p>
          <w:p w14:paraId="002278FC">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（2）投标文件上法定代表人或其授权代理人的签字、投标人的单位章盖章齐全，符合招标文件规定。</w:t>
            </w:r>
          </w:p>
          <w:p w14:paraId="002278FD">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（3）投标人按照招标文件的规定提供了投标保证金，并符合投标人须知前附表3.4.1项的相关规定。</w:t>
            </w:r>
          </w:p>
          <w:p w14:paraId="002278FE">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（4）投标人法定代表人授权委托代理人签署投标文件的，须提交授权委托书，授权委托书的签字盖章符合招标文件规定。</w:t>
            </w:r>
          </w:p>
          <w:p w14:paraId="002278FF">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（5）投标人法定代表人亲自签署投标文件的，提供了法定代表人身份证明，并符合招标文件的规定。</w:t>
            </w:r>
          </w:p>
          <w:p w14:paraId="00227900">
            <w:pPr>
              <w:tabs>
                <w:tab w:val="left" w:pos="3060"/>
              </w:tabs>
              <w:snapToGrid w:val="0"/>
              <w:spacing w:line="320" w:lineRule="exact"/>
              <w:ind w:firstLine="210" w:firstLineChars="100"/>
              <w:rPr>
                <w:rFonts w:hint="eastAsia" w:ascii="宋体" w:hAnsi="宋体"/>
                <w:bCs/>
                <w:sz w:val="21"/>
                <w:szCs w:val="21"/>
                <w:highlight w:val="none"/>
                <w:lang w:eastAsia="zh-CN"/>
              </w:rPr>
            </w:pPr>
            <w:r>
              <w:rPr>
                <w:rFonts w:hint="eastAsia" w:ascii="宋体" w:hAnsi="宋体"/>
                <w:bCs/>
                <w:sz w:val="21"/>
                <w:szCs w:val="21"/>
                <w:highlight w:val="none"/>
                <w:lang w:eastAsia="zh-CN"/>
              </w:rPr>
              <w:t>（6）投标人未以联合体形式投标。</w:t>
            </w:r>
          </w:p>
          <w:p w14:paraId="00227901">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（7）投标人未对本项目进行分包。</w:t>
            </w:r>
          </w:p>
          <w:p w14:paraId="00227902">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（8）同一投标人未提交两个以上不同的投标文件。</w:t>
            </w:r>
          </w:p>
          <w:p w14:paraId="00227903">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（9）投标文件第一信封中未出现有关投标报价的内容。</w:t>
            </w:r>
          </w:p>
          <w:p w14:paraId="00227904">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（10）投标文件载明的招标项目完成期限符合招标文件规定。</w:t>
            </w:r>
          </w:p>
          <w:p w14:paraId="00227905">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（11）投标文件对招标文件的实质性要求和条件作出响应。</w:t>
            </w:r>
          </w:p>
          <w:p w14:paraId="00227906">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（12）权利义务符合招标文件规定：</w:t>
            </w:r>
          </w:p>
          <w:p w14:paraId="00227907">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a.投标人应接受招标文件规定的风险划分原则，未提出新的风险划分办法；</w:t>
            </w:r>
          </w:p>
          <w:p w14:paraId="00227908">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b.投标人未增加发包人的责任范围，或减少投标人义务；</w:t>
            </w:r>
          </w:p>
          <w:p w14:paraId="00227909">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c.投标人未提出不同的支付办法；</w:t>
            </w:r>
          </w:p>
          <w:p w14:paraId="0022790A">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d.投标人对合同纠纷、事故处理办法未提出异议；</w:t>
            </w:r>
          </w:p>
          <w:p w14:paraId="0022790B">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e.投标人在投标活动中无欺诈行为；</w:t>
            </w:r>
          </w:p>
          <w:p w14:paraId="0022790C">
            <w:pPr>
              <w:tabs>
                <w:tab w:val="left" w:pos="3060"/>
              </w:tabs>
              <w:snapToGrid w:val="0"/>
              <w:spacing w:line="320" w:lineRule="exact"/>
              <w:ind w:firstLine="210" w:firstLineChars="100"/>
              <w:rPr>
                <w:rFonts w:hint="eastAsia" w:ascii="宋体" w:hAnsi="宋体"/>
                <w:sz w:val="21"/>
                <w:szCs w:val="21"/>
                <w:highlight w:val="none"/>
                <w:lang w:eastAsia="zh-CN"/>
              </w:rPr>
            </w:pPr>
            <w:r>
              <w:rPr>
                <w:rFonts w:hint="eastAsia" w:ascii="宋体" w:hAnsi="宋体"/>
                <w:sz w:val="21"/>
                <w:szCs w:val="21"/>
                <w:highlight w:val="none"/>
                <w:lang w:eastAsia="zh-CN"/>
              </w:rPr>
              <w:t>f.投标人未对合同条款有重要保留。</w:t>
            </w:r>
          </w:p>
          <w:p w14:paraId="0022790D">
            <w:pPr>
              <w:pStyle w:val="11"/>
              <w:snapToGrid w:val="0"/>
              <w:spacing w:line="320" w:lineRule="exact"/>
              <w:ind w:firstLine="210" w:firstLineChars="1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（13）投标人不存在投标人须知前附表4.4(1)、(3)项规定的情形。</w:t>
            </w:r>
          </w:p>
          <w:p w14:paraId="0022790E">
            <w:pPr>
              <w:pStyle w:val="11"/>
              <w:snapToGrid w:val="0"/>
              <w:spacing w:line="320" w:lineRule="exact"/>
              <w:ind w:firstLine="210" w:firstLineChars="1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（14）投标人不存在因投标人须知前附表4.4(2)项规定的情形被评标委员会认定为投标文件异常一致或投标活动异常关联活动情形。</w:t>
            </w:r>
          </w:p>
          <w:p w14:paraId="1B6E0A4D">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第一个信封（技术文件）评审标准（暗标）：</w:t>
            </w:r>
          </w:p>
          <w:p w14:paraId="6C20BF25">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Cs/>
                <w:sz w:val="21"/>
                <w:szCs w:val="21"/>
                <w:highlight w:val="none"/>
                <w:lang w:eastAsia="zh-CN"/>
              </w:rPr>
              <w:t>（1）实施方案（暗标）编制符合招标文件第二章“投标人须知前附表”第10.3款的规定。</w:t>
            </w:r>
          </w:p>
          <w:p w14:paraId="0022790F">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第二个信封（报价文件）评审标准：</w:t>
            </w:r>
          </w:p>
          <w:p w14:paraId="00227910">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（1）投标文件按照招标文件规定的格式、内容填写，字迹清晰可辨，内容齐全完整。</w:t>
            </w:r>
          </w:p>
          <w:p w14:paraId="00227911">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a.投标函按招标文件规定填报了项目名称、补遗书编号（如有）、投标报价（包括大写金额和小写金额）；</w:t>
            </w:r>
          </w:p>
          <w:p w14:paraId="00227912">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b.报价清单说明文字与招标文件规定一致，未进行实质性修改和删减；</w:t>
            </w:r>
          </w:p>
          <w:p w14:paraId="00227913">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c．投标文件组成齐全完整，内容均按规定填写。</w:t>
            </w:r>
          </w:p>
          <w:p w14:paraId="00227914">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（2）投标文件上法定代表人或其授权代理人的签字、投标人的单位章盖章齐全，符合招标文件规定。</w:t>
            </w:r>
          </w:p>
          <w:p w14:paraId="00227915">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（3）</w:t>
            </w:r>
            <w:r>
              <w:rPr>
                <w:rFonts w:hint="eastAsia" w:ascii="宋体" w:hAnsi="宋体"/>
                <w:color w:val="000000" w:themeColor="text1"/>
                <w:sz w:val="21"/>
                <w:szCs w:val="21"/>
                <w:highlight w:val="none"/>
                <w:lang w:eastAsia="zh-CN"/>
                <w14:textFill>
                  <w14:solidFill>
                    <w14:schemeClr w14:val="tx1"/>
                  </w14:solidFill>
                </w14:textFill>
              </w:rPr>
              <w:t>投标报价未超过招标文件设定的最高投标限价</w:t>
            </w:r>
            <w:r>
              <w:rPr>
                <w:rFonts w:hint="eastAsia" w:ascii="宋体" w:hAnsi="宋体"/>
                <w:bCs/>
                <w:sz w:val="21"/>
                <w:szCs w:val="21"/>
                <w:highlight w:val="none"/>
                <w:lang w:eastAsia="zh-CN"/>
              </w:rPr>
              <w:t>。</w:t>
            </w:r>
          </w:p>
          <w:p w14:paraId="00227916">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（4）投标报价大写金额能够确定具体数值。</w:t>
            </w:r>
          </w:p>
          <w:p w14:paraId="00227917">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（5）同一投标人未提交两个以上不同的投标报价。</w:t>
            </w:r>
          </w:p>
          <w:p w14:paraId="00227918">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（6）报价清单表中投标报价与投标函中投标报价大写金额一致。</w:t>
            </w:r>
          </w:p>
          <w:p w14:paraId="00227919">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（7）投标人不存在投标人须知前附表4.4(1)、(3)项规定的情形。</w:t>
            </w:r>
          </w:p>
          <w:p w14:paraId="0022791A">
            <w:pPr>
              <w:tabs>
                <w:tab w:val="left" w:pos="3060"/>
              </w:tabs>
              <w:snapToGrid w:val="0"/>
              <w:spacing w:line="320" w:lineRule="exact"/>
              <w:ind w:firstLine="205" w:firstLineChars="98"/>
              <w:rPr>
                <w:rFonts w:hint="eastAsia" w:ascii="宋体" w:hAnsi="宋体"/>
                <w:bCs/>
                <w:sz w:val="21"/>
                <w:szCs w:val="21"/>
                <w:highlight w:val="none"/>
                <w:lang w:eastAsia="zh-CN"/>
              </w:rPr>
            </w:pPr>
            <w:r>
              <w:rPr>
                <w:rFonts w:hint="eastAsia" w:ascii="宋体" w:hAnsi="宋体"/>
                <w:bCs/>
                <w:sz w:val="21"/>
                <w:szCs w:val="21"/>
                <w:highlight w:val="none"/>
                <w:lang w:eastAsia="zh-CN"/>
              </w:rPr>
              <w:t>（8）</w:t>
            </w:r>
            <w:r>
              <w:rPr>
                <w:rFonts w:hint="eastAsia" w:ascii="宋体" w:hAnsi="宋体" w:eastAsia="宋体" w:cs="宋体"/>
                <w:sz w:val="21"/>
                <w:szCs w:val="21"/>
                <w:highlight w:val="none"/>
                <w:lang w:eastAsia="zh-CN"/>
              </w:rPr>
              <w:t>投标人不存在因投标人须知前附表4.4(2)项规定的情形被评标委员会认定为投标文件异常一致或投标活动异常关联活动情形</w:t>
            </w:r>
            <w:r>
              <w:rPr>
                <w:rFonts w:hint="eastAsia" w:ascii="宋体" w:hAnsi="宋体"/>
                <w:bCs/>
                <w:sz w:val="21"/>
                <w:szCs w:val="21"/>
                <w:highlight w:val="none"/>
                <w:lang w:eastAsia="zh-CN"/>
              </w:rPr>
              <w:t>。</w:t>
            </w:r>
          </w:p>
          <w:p w14:paraId="0022791B">
            <w:pPr>
              <w:tabs>
                <w:tab w:val="left" w:pos="3060"/>
              </w:tabs>
              <w:snapToGrid w:val="0"/>
              <w:spacing w:line="320" w:lineRule="exact"/>
              <w:ind w:firstLine="205" w:firstLineChars="98"/>
              <w:rPr>
                <w:rFonts w:hint="eastAsia" w:ascii="宋体" w:hAnsi="宋体"/>
                <w:sz w:val="21"/>
                <w:szCs w:val="21"/>
                <w:highlight w:val="none"/>
                <w:lang w:eastAsia="zh-CN"/>
              </w:rPr>
            </w:pPr>
            <w:r>
              <w:rPr>
                <w:rFonts w:hint="eastAsia" w:ascii="宋体" w:hAnsi="宋体"/>
                <w:bCs/>
                <w:sz w:val="21"/>
                <w:szCs w:val="21"/>
                <w:highlight w:val="none"/>
                <w:lang w:eastAsia="zh-CN"/>
              </w:rPr>
              <w:t>（9）投标人不存在因投标人须知前附表3.2.5项规定被评标委员会认定为低于成本或影响履约的异常低价竞标的情形。</w:t>
            </w:r>
          </w:p>
        </w:tc>
      </w:tr>
      <w:tr w14:paraId="0022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006" w:hRule="atLeast"/>
        </w:trPr>
        <w:tc>
          <w:tcPr>
            <w:tcW w:w="423" w:type="pct"/>
            <w:vAlign w:val="center"/>
          </w:tcPr>
          <w:p w14:paraId="0022791D">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2.1.2</w:t>
            </w:r>
          </w:p>
        </w:tc>
        <w:tc>
          <w:tcPr>
            <w:tcW w:w="785" w:type="pct"/>
            <w:vAlign w:val="center"/>
          </w:tcPr>
          <w:p w14:paraId="0022791E">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资格评审标准</w:t>
            </w:r>
          </w:p>
        </w:tc>
        <w:tc>
          <w:tcPr>
            <w:tcW w:w="3782" w:type="pct"/>
          </w:tcPr>
          <w:p w14:paraId="0022791F">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（1）投标人具备有效的营业执照副本、资质证书和基本账户开户许可证（或基本存款账户信息）；</w:t>
            </w:r>
          </w:p>
          <w:p w14:paraId="00227920">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（2）投标人的资质等级符合招标文件规定；</w:t>
            </w:r>
          </w:p>
          <w:p w14:paraId="00227921">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（3）投标人的类似项目业绩符合招标文件规定；</w:t>
            </w:r>
          </w:p>
          <w:p w14:paraId="00227922">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（4）投标人的信誉符合招标文件规定；</w:t>
            </w:r>
          </w:p>
          <w:p w14:paraId="00227923">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（5）投标人的项目负责人资格符合招标文件规定；</w:t>
            </w:r>
          </w:p>
          <w:p w14:paraId="00227924">
            <w:pPr>
              <w:tabs>
                <w:tab w:val="left" w:pos="3060"/>
              </w:tabs>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（6）投标人不存在第二章“投标人须知”1.4.3项或第1.4.4项规定的任何一种情形。</w:t>
            </w:r>
          </w:p>
        </w:tc>
      </w:tr>
      <w:tr w14:paraId="0022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00227926">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2.2.1</w:t>
            </w:r>
          </w:p>
        </w:tc>
        <w:tc>
          <w:tcPr>
            <w:tcW w:w="785" w:type="pct"/>
            <w:vAlign w:val="center"/>
          </w:tcPr>
          <w:p w14:paraId="00227927">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分值构成（总分100分）</w:t>
            </w:r>
          </w:p>
        </w:tc>
        <w:tc>
          <w:tcPr>
            <w:tcW w:w="3782" w:type="pct"/>
            <w:vAlign w:val="center"/>
          </w:tcPr>
          <w:p w14:paraId="00227928">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第一个信封（商务及技术文件）评分分值构成：</w:t>
            </w:r>
          </w:p>
          <w:p w14:paraId="2AC6CCF2">
            <w:pPr>
              <w:snapToGrid w:val="0"/>
              <w:spacing w:line="320" w:lineRule="exact"/>
              <w:rPr>
                <w:rFonts w:hint="default" w:ascii="宋体" w:hAnsi="宋体"/>
                <w:b/>
                <w:sz w:val="21"/>
                <w:szCs w:val="21"/>
                <w:highlight w:val="none"/>
                <w:lang w:val="en-US" w:eastAsia="zh-CN"/>
              </w:rPr>
            </w:pPr>
            <w:r>
              <w:rPr>
                <w:rFonts w:hint="eastAsia" w:ascii="宋体" w:hAnsi="宋体"/>
                <w:b/>
                <w:sz w:val="21"/>
                <w:szCs w:val="21"/>
                <w:highlight w:val="none"/>
                <w:lang w:eastAsia="zh-CN"/>
              </w:rPr>
              <w:t>实施方案：</w:t>
            </w:r>
            <w:r>
              <w:rPr>
                <w:rFonts w:hint="eastAsia" w:ascii="宋体" w:hAnsi="宋体"/>
                <w:b/>
                <w:sz w:val="21"/>
                <w:szCs w:val="21"/>
                <w:highlight w:val="none"/>
                <w:u w:val="single"/>
                <w:lang w:eastAsia="zh-CN"/>
              </w:rPr>
              <w:t>40</w:t>
            </w:r>
            <w:r>
              <w:rPr>
                <w:rFonts w:hint="eastAsia" w:ascii="宋体" w:hAnsi="宋体"/>
                <w:b/>
                <w:sz w:val="21"/>
                <w:szCs w:val="21"/>
                <w:highlight w:val="none"/>
                <w:lang w:eastAsia="zh-CN"/>
              </w:rPr>
              <w:t>分（</w:t>
            </w:r>
            <w:r>
              <w:rPr>
                <w:rFonts w:hint="eastAsia" w:ascii="宋体" w:hAnsi="宋体"/>
                <w:b/>
                <w:sz w:val="21"/>
                <w:szCs w:val="21"/>
                <w:highlight w:val="none"/>
                <w:lang w:val="en-US" w:eastAsia="zh-CN"/>
              </w:rPr>
              <w:t>暗标）</w:t>
            </w:r>
          </w:p>
          <w:p w14:paraId="0022792A">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主要人员：</w:t>
            </w:r>
            <w:r>
              <w:rPr>
                <w:rFonts w:hint="eastAsia" w:ascii="宋体" w:hAnsi="宋体"/>
                <w:b/>
                <w:sz w:val="21"/>
                <w:szCs w:val="21"/>
                <w:highlight w:val="none"/>
                <w:u w:val="single"/>
                <w:lang w:eastAsia="zh-CN"/>
              </w:rPr>
              <w:t>10</w:t>
            </w:r>
            <w:r>
              <w:rPr>
                <w:rFonts w:hint="eastAsia" w:ascii="宋体" w:hAnsi="宋体"/>
                <w:b/>
                <w:sz w:val="21"/>
                <w:szCs w:val="21"/>
                <w:highlight w:val="none"/>
                <w:lang w:eastAsia="zh-CN"/>
              </w:rPr>
              <w:t>分</w:t>
            </w:r>
          </w:p>
          <w:p w14:paraId="41A453E8">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其他因素：</w:t>
            </w:r>
            <w:r>
              <w:rPr>
                <w:rFonts w:hint="eastAsia" w:ascii="宋体" w:hAnsi="宋体"/>
                <w:b/>
                <w:sz w:val="21"/>
                <w:szCs w:val="21"/>
                <w:highlight w:val="none"/>
                <w:u w:val="single"/>
                <w:lang w:eastAsia="zh-CN"/>
              </w:rPr>
              <w:t>20</w:t>
            </w:r>
            <w:r>
              <w:rPr>
                <w:rFonts w:hint="eastAsia" w:ascii="宋体" w:hAnsi="宋体"/>
                <w:b/>
                <w:sz w:val="21"/>
                <w:szCs w:val="21"/>
                <w:highlight w:val="none"/>
                <w:lang w:eastAsia="zh-CN"/>
              </w:rPr>
              <w:t>分</w:t>
            </w:r>
          </w:p>
          <w:p w14:paraId="0022792C">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第二个信封（报价文件）评分分值构成：</w:t>
            </w:r>
          </w:p>
          <w:p w14:paraId="0022792D">
            <w:pPr>
              <w:snapToGrid w:val="0"/>
              <w:spacing w:line="320" w:lineRule="exact"/>
              <w:rPr>
                <w:rFonts w:hint="eastAsia" w:ascii="宋体" w:hAnsi="宋体"/>
                <w:b/>
                <w:sz w:val="21"/>
                <w:szCs w:val="21"/>
                <w:highlight w:val="none"/>
              </w:rPr>
            </w:pPr>
            <w:r>
              <w:rPr>
                <w:rFonts w:hint="eastAsia" w:ascii="宋体" w:hAnsi="宋体"/>
                <w:b/>
                <w:sz w:val="21"/>
                <w:szCs w:val="21"/>
                <w:highlight w:val="none"/>
              </w:rPr>
              <w:t>评标价：</w:t>
            </w:r>
            <w:r>
              <w:rPr>
                <w:rFonts w:hint="eastAsia" w:ascii="宋体" w:hAnsi="宋体"/>
                <w:b/>
                <w:sz w:val="21"/>
                <w:szCs w:val="21"/>
                <w:highlight w:val="none"/>
                <w:u w:val="single"/>
                <w:lang w:eastAsia="zh-CN"/>
              </w:rPr>
              <w:t>3</w:t>
            </w:r>
            <w:r>
              <w:rPr>
                <w:rFonts w:hint="eastAsia" w:ascii="宋体" w:hAnsi="宋体"/>
                <w:b/>
                <w:sz w:val="21"/>
                <w:szCs w:val="21"/>
                <w:highlight w:val="none"/>
                <w:u w:val="single"/>
              </w:rPr>
              <w:t>0</w:t>
            </w:r>
            <w:r>
              <w:rPr>
                <w:rFonts w:hint="eastAsia" w:ascii="宋体" w:hAnsi="宋体"/>
                <w:b/>
                <w:sz w:val="21"/>
                <w:szCs w:val="21"/>
                <w:highlight w:val="none"/>
              </w:rPr>
              <w:t>分</w:t>
            </w:r>
          </w:p>
        </w:tc>
      </w:tr>
      <w:tr w14:paraId="0022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027" w:hRule="atLeast"/>
        </w:trPr>
        <w:tc>
          <w:tcPr>
            <w:tcW w:w="423" w:type="pct"/>
            <w:vAlign w:val="center"/>
          </w:tcPr>
          <w:p w14:paraId="0022792F">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2.2.2</w:t>
            </w:r>
          </w:p>
        </w:tc>
        <w:tc>
          <w:tcPr>
            <w:tcW w:w="785" w:type="pct"/>
            <w:vAlign w:val="center"/>
          </w:tcPr>
          <w:p w14:paraId="00227930">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3782" w:type="pct"/>
            <w:vAlign w:val="center"/>
          </w:tcPr>
          <w:p w14:paraId="00227931">
            <w:pPr>
              <w:snapToGrid w:val="0"/>
              <w:spacing w:line="320" w:lineRule="exact"/>
              <w:ind w:right="113"/>
              <w:rPr>
                <w:rFonts w:hint="eastAsia" w:ascii="宋体" w:hAnsi="宋体"/>
                <w:sz w:val="21"/>
                <w:szCs w:val="21"/>
                <w:highlight w:val="none"/>
                <w:lang w:eastAsia="zh-CN"/>
              </w:rPr>
            </w:pPr>
            <w:r>
              <w:rPr>
                <w:rFonts w:hint="eastAsia" w:ascii="宋体" w:hAnsi="宋体"/>
                <w:b/>
                <w:bCs/>
                <w:sz w:val="21"/>
                <w:szCs w:val="21"/>
                <w:highlight w:val="none"/>
                <w:lang w:eastAsia="zh-CN"/>
              </w:rPr>
              <w:t>评标基准价的计算</w:t>
            </w:r>
            <w:r>
              <w:rPr>
                <w:rFonts w:hint="eastAsia" w:ascii="宋体" w:hAnsi="宋体"/>
                <w:sz w:val="21"/>
                <w:szCs w:val="21"/>
                <w:highlight w:val="none"/>
                <w:lang w:eastAsia="zh-CN"/>
              </w:rPr>
              <w:t>：</w:t>
            </w:r>
          </w:p>
          <w:p w14:paraId="00227932">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在第二个信封开标现场，招标人当场计算并宣布评标基准价。</w:t>
            </w:r>
          </w:p>
          <w:p w14:paraId="00227933">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(1)评标价的确定：</w:t>
            </w:r>
          </w:p>
          <w:p w14:paraId="00227934">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评标价=投标函文字报价</w:t>
            </w:r>
          </w:p>
          <w:p w14:paraId="00227935">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(2)评标价平均值的计算：</w:t>
            </w:r>
          </w:p>
          <w:p w14:paraId="00227936">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00227937">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(3)评标基准价的确定：</w:t>
            </w:r>
          </w:p>
          <w:p w14:paraId="00227938">
            <w:pPr>
              <w:snapToGrid w:val="0"/>
              <w:spacing w:line="320" w:lineRule="exact"/>
              <w:ind w:right="113" w:firstLine="426" w:firstLineChars="203"/>
              <w:rPr>
                <w:rFonts w:hint="eastAsia" w:ascii="宋体" w:hAnsi="宋体"/>
                <w:sz w:val="21"/>
                <w:szCs w:val="21"/>
                <w:highlight w:val="none"/>
                <w:lang w:eastAsia="zh-CN"/>
              </w:rPr>
            </w:pPr>
            <w:r>
              <w:rPr>
                <w:rFonts w:hint="eastAsia" w:ascii="宋体" w:hAnsi="宋体"/>
                <w:sz w:val="21"/>
                <w:szCs w:val="21"/>
                <w:highlight w:val="none"/>
                <w:lang w:eastAsia="zh-CN"/>
              </w:rPr>
              <w:t>评标价平均值直接作为评标基准价（评标基准价保留小数点后两位，小数点后第三位四舍五入）。</w:t>
            </w:r>
          </w:p>
          <w:p w14:paraId="00227939">
            <w:pPr>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0022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0022793B">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2.2.3</w:t>
            </w:r>
          </w:p>
        </w:tc>
        <w:tc>
          <w:tcPr>
            <w:tcW w:w="785" w:type="pct"/>
            <w:vAlign w:val="center"/>
          </w:tcPr>
          <w:p w14:paraId="0022793C">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评标价的偏差率计算公式</w:t>
            </w:r>
          </w:p>
        </w:tc>
        <w:tc>
          <w:tcPr>
            <w:tcW w:w="3782" w:type="pct"/>
            <w:vAlign w:val="center"/>
          </w:tcPr>
          <w:p w14:paraId="0022793D">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w:t>
            </w:r>
          </w:p>
        </w:tc>
      </w:tr>
      <w:tr w14:paraId="00227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728" w:hRule="atLeast"/>
        </w:trPr>
        <w:tc>
          <w:tcPr>
            <w:tcW w:w="423" w:type="pct"/>
            <w:vAlign w:val="center"/>
          </w:tcPr>
          <w:p w14:paraId="0022793F">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3.5.3</w:t>
            </w:r>
          </w:p>
        </w:tc>
        <w:tc>
          <w:tcPr>
            <w:tcW w:w="785" w:type="pct"/>
            <w:vAlign w:val="center"/>
          </w:tcPr>
          <w:p w14:paraId="00227940">
            <w:pPr>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异常低价</w:t>
            </w:r>
          </w:p>
        </w:tc>
        <w:tc>
          <w:tcPr>
            <w:tcW w:w="3782" w:type="pct"/>
            <w:vAlign w:val="center"/>
          </w:tcPr>
          <w:p w14:paraId="00227941">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00227942">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投标人存在投标人须知前附表3.2.5项情形的，评标委员会应当</w:t>
            </w:r>
            <w:r>
              <w:rPr>
                <w:rFonts w:hint="eastAsia" w:ascii="宋体" w:hAnsi="宋体"/>
                <w:sz w:val="21"/>
                <w:szCs w:val="21"/>
                <w:highlight w:val="none"/>
                <w:lang w:val="en-US" w:eastAsia="zh-CN"/>
              </w:rPr>
              <w:t>要求</w:t>
            </w:r>
            <w:r>
              <w:rPr>
                <w:rFonts w:hint="eastAsia" w:ascii="宋体" w:hAnsi="宋体"/>
                <w:sz w:val="21"/>
                <w:szCs w:val="21"/>
                <w:highlight w:val="none"/>
                <w:lang w:eastAsia="zh-CN"/>
              </w:rPr>
              <w:t>投标人作出书面说明并提供相应的证明材料。投标人不能合理说明或者不能提供相应证明材料的，评标委员会应当认定该投标人以低于成本或影响履约的异常低价竞标，否决其投标。</w:t>
            </w:r>
          </w:p>
        </w:tc>
      </w:tr>
      <w:tr w14:paraId="0022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793" w:hRule="atLeast"/>
        </w:trPr>
        <w:tc>
          <w:tcPr>
            <w:tcW w:w="778" w:type="dxa"/>
            <w:vAlign w:val="center"/>
          </w:tcPr>
          <w:p w14:paraId="00227944">
            <w:pPr>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3.6.1</w:t>
            </w:r>
          </w:p>
        </w:tc>
        <w:tc>
          <w:tcPr>
            <w:tcW w:w="1444" w:type="dxa"/>
            <w:vAlign w:val="center"/>
          </w:tcPr>
          <w:p w14:paraId="22778EEB">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信息</w:t>
            </w:r>
          </w:p>
          <w:p w14:paraId="7B883603">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查询</w:t>
            </w:r>
          </w:p>
        </w:tc>
        <w:tc>
          <w:tcPr>
            <w:tcW w:w="6956" w:type="dxa"/>
            <w:vAlign w:val="center"/>
          </w:tcPr>
          <w:p w14:paraId="6538E1AC">
            <w:pPr>
              <w:autoSpaceDE w:val="0"/>
              <w:autoSpaceDN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5E654D68">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在评标过程中，评标委员会应对以下信息进行查询：</w:t>
            </w:r>
          </w:p>
          <w:p w14:paraId="355FF55E">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1）投标人信用情况网页截图内容与在“国家企业信用信息公示系统”中严重违法失信名单（黑名单）（不含分公司）或在“信用中国”网站中经营（活动）异常名录、重大税收违法失信主体名单、政府采购严重违法失信行为记录名单（</w:t>
            </w:r>
            <w:r>
              <w:rPr>
                <w:rFonts w:hint="eastAsia" w:ascii="宋体" w:hAnsi="宋体"/>
                <w:sz w:val="21"/>
                <w:szCs w:val="21"/>
                <w:highlight w:val="none"/>
                <w:lang w:val="en-US" w:eastAsia="zh-CN"/>
              </w:rPr>
              <w:t>均</w:t>
            </w:r>
            <w:r>
              <w:rPr>
                <w:rFonts w:hint="eastAsia" w:ascii="宋体" w:hAnsi="宋体"/>
                <w:sz w:val="21"/>
                <w:szCs w:val="21"/>
                <w:highlight w:val="none"/>
                <w:lang w:eastAsia="zh-CN"/>
              </w:rPr>
              <w:t>不含分公司）</w:t>
            </w:r>
            <w:r>
              <w:rPr>
                <w:rFonts w:hint="eastAsia" w:ascii="宋体" w:hAnsi="宋体"/>
                <w:sz w:val="21"/>
                <w:szCs w:val="21"/>
                <w:highlight w:val="none"/>
                <w:lang w:val="en-US" w:eastAsia="zh-CN"/>
              </w:rPr>
              <w:t>或“</w:t>
            </w:r>
            <w:r>
              <w:rPr>
                <w:rFonts w:hint="eastAsia" w:ascii="宋体" w:hAnsi="宋体"/>
                <w:sz w:val="21"/>
                <w:szCs w:val="21"/>
                <w:highlight w:val="none"/>
                <w:lang w:eastAsia="zh-CN"/>
              </w:rPr>
              <w:t>中国执行信息公开网”中失信被执行人（不含分公司）的复核结果一致。如投标人未提供相关网页截图或所附截图与复核结果不一致导致不能满足资格评审要求的，评标委员会应否决其投标。</w:t>
            </w:r>
          </w:p>
          <w:p w14:paraId="13CE93A5">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0022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605" w:hRule="atLeast"/>
        </w:trPr>
        <w:tc>
          <w:tcPr>
            <w:tcW w:w="423" w:type="pct"/>
            <w:vAlign w:val="center"/>
          </w:tcPr>
          <w:p w14:paraId="0022794C">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lang w:eastAsia="zh-CN"/>
              </w:rPr>
              <w:t>增加3.6.3</w:t>
            </w:r>
          </w:p>
        </w:tc>
        <w:tc>
          <w:tcPr>
            <w:tcW w:w="785" w:type="pct"/>
            <w:vAlign w:val="center"/>
          </w:tcPr>
          <w:p w14:paraId="0022794D">
            <w:pPr>
              <w:adjustRightInd w:val="0"/>
              <w:snapToGrid w:val="0"/>
              <w:spacing w:line="320" w:lineRule="exact"/>
              <w:jc w:val="center"/>
              <w:rPr>
                <w:rFonts w:hint="eastAsia" w:ascii="宋体" w:hAnsi="宋体"/>
                <w:sz w:val="21"/>
                <w:szCs w:val="21"/>
                <w:highlight w:val="none"/>
                <w:lang w:eastAsia="zh-CN"/>
              </w:rPr>
            </w:pPr>
            <w:r>
              <w:rPr>
                <w:rFonts w:hint="eastAsia" w:ascii="宋体" w:hAnsi="宋体"/>
                <w:sz w:val="21"/>
                <w:szCs w:val="21"/>
                <w:highlight w:val="none"/>
                <w:lang w:eastAsia="zh-CN"/>
              </w:rPr>
              <w:t>投标人其他异常投标情形</w:t>
            </w:r>
          </w:p>
        </w:tc>
        <w:tc>
          <w:tcPr>
            <w:tcW w:w="3782" w:type="pct"/>
            <w:vAlign w:val="center"/>
          </w:tcPr>
          <w:p w14:paraId="7598EE4A">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4F0D2C6F">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r w14:paraId="0022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00227951">
            <w:pPr>
              <w:snapToGrid w:val="0"/>
              <w:spacing w:line="320" w:lineRule="exact"/>
              <w:ind w:right="113"/>
              <w:rPr>
                <w:rFonts w:hint="eastAsia" w:ascii="宋体" w:hAnsi="宋体"/>
                <w:bCs/>
                <w:sz w:val="21"/>
                <w:szCs w:val="21"/>
                <w:highlight w:val="none"/>
                <w:lang w:eastAsia="zh-CN"/>
              </w:rPr>
            </w:pPr>
            <w:r>
              <w:rPr>
                <w:rFonts w:hint="eastAsia" w:ascii="宋体" w:hAnsi="宋体"/>
                <w:sz w:val="21"/>
                <w:szCs w:val="21"/>
                <w:highlight w:val="none"/>
                <w:lang w:eastAsia="zh-CN"/>
              </w:rPr>
              <w:t>需要补充的其他内容：</w:t>
            </w:r>
            <w:r>
              <w:rPr>
                <w:rFonts w:hint="eastAsia" w:ascii="宋体" w:hAnsi="宋体"/>
                <w:bCs/>
                <w:sz w:val="21"/>
                <w:szCs w:val="21"/>
                <w:highlight w:val="none"/>
                <w:lang w:eastAsia="zh-CN"/>
              </w:rPr>
              <w:t>无</w:t>
            </w:r>
          </w:p>
        </w:tc>
      </w:tr>
    </w:tbl>
    <w:p w14:paraId="536CF5C1">
      <w:pPr>
        <w:spacing w:before="46"/>
        <w:rPr>
          <w:highlight w:val="none"/>
          <w:lang w:eastAsia="zh-CN"/>
        </w:rPr>
      </w:pPr>
    </w:p>
    <w:p w14:paraId="00227954">
      <w:pPr>
        <w:jc w:val="right"/>
        <w:rPr>
          <w:rFonts w:hint="eastAsia" w:ascii="宋体" w:hAnsi="宋体"/>
          <w:highlight w:val="none"/>
        </w:rPr>
      </w:pPr>
      <w:r>
        <w:rPr>
          <w:highlight w:val="none"/>
          <w:lang w:eastAsia="zh-CN"/>
        </w:rPr>
        <w:br w:type="page"/>
      </w:r>
      <w:r>
        <w:rPr>
          <w:rFonts w:hint="eastAsia" w:ascii="宋体" w:hAnsi="宋体"/>
          <w:highlight w:val="none"/>
        </w:rPr>
        <w:t>续上表</w:t>
      </w:r>
    </w:p>
    <w:tbl>
      <w:tblPr>
        <w:tblStyle w:val="8"/>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979"/>
        <w:gridCol w:w="675"/>
        <w:gridCol w:w="1463"/>
        <w:gridCol w:w="712"/>
        <w:gridCol w:w="5082"/>
      </w:tblGrid>
      <w:tr w14:paraId="00227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570" w:type="dxa"/>
            <w:gridSpan w:val="5"/>
            <w:vAlign w:val="center"/>
          </w:tcPr>
          <w:p w14:paraId="00227955">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评分因素与权重分值</w:t>
            </w:r>
          </w:p>
        </w:tc>
        <w:tc>
          <w:tcPr>
            <w:tcW w:w="5082" w:type="dxa"/>
            <w:vMerge w:val="restart"/>
            <w:vAlign w:val="center"/>
          </w:tcPr>
          <w:p w14:paraId="00227956">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评分标准</w:t>
            </w:r>
          </w:p>
        </w:tc>
      </w:tr>
      <w:tr w14:paraId="0022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vAlign w:val="center"/>
          </w:tcPr>
          <w:p w14:paraId="00227958">
            <w:pPr>
              <w:pStyle w:val="5"/>
              <w:snapToGrid w:val="0"/>
              <w:spacing w:line="320" w:lineRule="exact"/>
              <w:jc w:val="center"/>
              <w:rPr>
                <w:rFonts w:hint="eastAsia" w:hAnsi="宋体"/>
                <w:sz w:val="21"/>
                <w:szCs w:val="21"/>
                <w:highlight w:val="none"/>
              </w:rPr>
            </w:pPr>
            <w:r>
              <w:rPr>
                <w:rFonts w:hint="eastAsia" w:hAnsi="宋体"/>
                <w:sz w:val="21"/>
                <w:szCs w:val="21"/>
                <w:highlight w:val="none"/>
              </w:rPr>
              <w:t>条款号</w:t>
            </w:r>
          </w:p>
        </w:tc>
        <w:tc>
          <w:tcPr>
            <w:tcW w:w="979" w:type="dxa"/>
            <w:tcBorders>
              <w:top w:val="single" w:color="auto" w:sz="4" w:space="0"/>
              <w:left w:val="single" w:color="auto" w:sz="4" w:space="0"/>
              <w:bottom w:val="single" w:color="auto" w:sz="4" w:space="0"/>
              <w:right w:val="single" w:color="auto" w:sz="4" w:space="0"/>
            </w:tcBorders>
            <w:vAlign w:val="center"/>
          </w:tcPr>
          <w:p w14:paraId="00227959">
            <w:pPr>
              <w:pStyle w:val="5"/>
              <w:snapToGrid w:val="0"/>
              <w:spacing w:line="320" w:lineRule="exact"/>
              <w:jc w:val="center"/>
              <w:rPr>
                <w:rFonts w:hint="eastAsia" w:hAnsi="宋体"/>
                <w:sz w:val="21"/>
                <w:szCs w:val="21"/>
                <w:highlight w:val="none"/>
              </w:rPr>
            </w:pPr>
            <w:r>
              <w:rPr>
                <w:rFonts w:hint="eastAsia" w:hAnsi="宋体"/>
                <w:sz w:val="21"/>
                <w:szCs w:val="21"/>
                <w:highlight w:val="none"/>
              </w:rPr>
              <w:t>评分因素</w:t>
            </w:r>
          </w:p>
        </w:tc>
        <w:tc>
          <w:tcPr>
            <w:tcW w:w="675" w:type="dxa"/>
            <w:tcBorders>
              <w:top w:val="single" w:color="auto" w:sz="4" w:space="0"/>
              <w:left w:val="single" w:color="auto" w:sz="4" w:space="0"/>
              <w:bottom w:val="single" w:color="auto" w:sz="4" w:space="0"/>
              <w:right w:val="single" w:color="auto" w:sz="4" w:space="0"/>
            </w:tcBorders>
            <w:vAlign w:val="center"/>
          </w:tcPr>
          <w:p w14:paraId="0022795A">
            <w:pPr>
              <w:pStyle w:val="5"/>
              <w:snapToGrid w:val="0"/>
              <w:spacing w:line="320" w:lineRule="exact"/>
              <w:ind w:left="-34" w:leftChars="-19" w:right="-27" w:rightChars="-15" w:firstLine="1"/>
              <w:jc w:val="center"/>
              <w:rPr>
                <w:rFonts w:hint="eastAsia" w:hAnsi="宋体"/>
                <w:sz w:val="21"/>
                <w:szCs w:val="21"/>
                <w:highlight w:val="none"/>
              </w:rPr>
            </w:pPr>
            <w:r>
              <w:rPr>
                <w:rFonts w:hint="eastAsia" w:hAnsi="宋体"/>
                <w:sz w:val="21"/>
                <w:szCs w:val="21"/>
                <w:highlight w:val="none"/>
              </w:rPr>
              <w:t>评分因素 权重分值</w:t>
            </w:r>
          </w:p>
        </w:tc>
        <w:tc>
          <w:tcPr>
            <w:tcW w:w="1463" w:type="dxa"/>
            <w:tcBorders>
              <w:top w:val="single" w:color="auto" w:sz="4" w:space="0"/>
              <w:left w:val="single" w:color="auto" w:sz="4" w:space="0"/>
              <w:bottom w:val="single" w:color="auto" w:sz="4" w:space="0"/>
              <w:right w:val="single" w:color="auto" w:sz="4" w:space="0"/>
            </w:tcBorders>
            <w:vAlign w:val="center"/>
          </w:tcPr>
          <w:p w14:paraId="0022795B">
            <w:pPr>
              <w:pStyle w:val="5"/>
              <w:snapToGrid w:val="0"/>
              <w:spacing w:line="320" w:lineRule="exact"/>
              <w:jc w:val="center"/>
              <w:rPr>
                <w:rFonts w:hint="eastAsia" w:hAnsi="宋体"/>
                <w:sz w:val="21"/>
                <w:szCs w:val="21"/>
                <w:highlight w:val="none"/>
              </w:rPr>
            </w:pPr>
            <w:r>
              <w:rPr>
                <w:rStyle w:val="12"/>
                <w:rFonts w:hint="eastAsia"/>
                <w:color w:val="auto"/>
                <w:highlight w:val="none"/>
              </w:rPr>
              <w:t>各评分因素细分项</w:t>
            </w:r>
          </w:p>
        </w:tc>
        <w:tc>
          <w:tcPr>
            <w:tcW w:w="712" w:type="dxa"/>
            <w:tcBorders>
              <w:left w:val="single" w:color="auto" w:sz="4" w:space="0"/>
            </w:tcBorders>
            <w:vAlign w:val="center"/>
          </w:tcPr>
          <w:p w14:paraId="0022795C">
            <w:pPr>
              <w:pStyle w:val="5"/>
              <w:snapToGrid w:val="0"/>
              <w:spacing w:line="320" w:lineRule="exact"/>
              <w:jc w:val="center"/>
              <w:rPr>
                <w:rFonts w:hint="eastAsia" w:hAnsi="宋体"/>
                <w:sz w:val="21"/>
                <w:szCs w:val="21"/>
                <w:highlight w:val="none"/>
              </w:rPr>
            </w:pPr>
            <w:r>
              <w:rPr>
                <w:rFonts w:hint="eastAsia" w:hAnsi="宋体"/>
                <w:sz w:val="21"/>
                <w:szCs w:val="21"/>
                <w:highlight w:val="none"/>
              </w:rPr>
              <w:t>分值</w:t>
            </w:r>
          </w:p>
        </w:tc>
        <w:tc>
          <w:tcPr>
            <w:tcW w:w="5082" w:type="dxa"/>
            <w:vMerge w:val="continue"/>
            <w:vAlign w:val="center"/>
          </w:tcPr>
          <w:p w14:paraId="0022795D">
            <w:pPr>
              <w:pStyle w:val="5"/>
              <w:snapToGrid w:val="0"/>
              <w:spacing w:line="320" w:lineRule="exact"/>
              <w:jc w:val="center"/>
              <w:rPr>
                <w:rFonts w:hint="eastAsia" w:hAnsi="宋体"/>
                <w:sz w:val="21"/>
                <w:szCs w:val="21"/>
                <w:highlight w:val="none"/>
              </w:rPr>
            </w:pPr>
          </w:p>
        </w:tc>
      </w:tr>
      <w:tr w14:paraId="0022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vAlign w:val="center"/>
          </w:tcPr>
          <w:p w14:paraId="0022795F">
            <w:pPr>
              <w:pStyle w:val="5"/>
              <w:snapToGrid w:val="0"/>
              <w:spacing w:line="320" w:lineRule="exact"/>
              <w:jc w:val="center"/>
              <w:rPr>
                <w:rFonts w:hint="eastAsia" w:hAnsi="宋体"/>
                <w:sz w:val="21"/>
                <w:szCs w:val="21"/>
                <w:highlight w:val="none"/>
              </w:rPr>
            </w:pPr>
            <w:r>
              <w:rPr>
                <w:rFonts w:hint="eastAsia" w:hAnsi="宋体"/>
                <w:sz w:val="21"/>
                <w:szCs w:val="21"/>
                <w:highlight w:val="none"/>
              </w:rPr>
              <w:t>2.2.4（1）</w:t>
            </w:r>
          </w:p>
        </w:tc>
        <w:tc>
          <w:tcPr>
            <w:tcW w:w="979" w:type="dxa"/>
            <w:vMerge w:val="restart"/>
            <w:tcBorders>
              <w:top w:val="single" w:color="auto" w:sz="4" w:space="0"/>
            </w:tcBorders>
            <w:vAlign w:val="center"/>
          </w:tcPr>
          <w:p w14:paraId="3C36E7A6">
            <w:pPr>
              <w:pStyle w:val="5"/>
              <w:snapToGrid w:val="0"/>
              <w:spacing w:line="320" w:lineRule="exact"/>
              <w:jc w:val="center"/>
              <w:rPr>
                <w:rFonts w:hint="eastAsia" w:hAnsi="宋体"/>
                <w:sz w:val="21"/>
                <w:szCs w:val="21"/>
                <w:highlight w:val="none"/>
              </w:rPr>
            </w:pPr>
            <w:r>
              <w:rPr>
                <w:rFonts w:hint="eastAsia" w:hAnsi="宋体"/>
                <w:sz w:val="21"/>
                <w:szCs w:val="21"/>
                <w:highlight w:val="none"/>
              </w:rPr>
              <w:t>实施</w:t>
            </w:r>
          </w:p>
          <w:p w14:paraId="49A01319">
            <w:pPr>
              <w:pStyle w:val="5"/>
              <w:snapToGrid w:val="0"/>
              <w:spacing w:line="320" w:lineRule="exact"/>
              <w:jc w:val="center"/>
              <w:rPr>
                <w:rFonts w:hint="eastAsia" w:hAnsi="宋体"/>
                <w:sz w:val="21"/>
                <w:szCs w:val="21"/>
                <w:highlight w:val="none"/>
              </w:rPr>
            </w:pPr>
            <w:r>
              <w:rPr>
                <w:rFonts w:hint="eastAsia" w:hAnsi="宋体"/>
                <w:sz w:val="21"/>
                <w:szCs w:val="21"/>
                <w:highlight w:val="none"/>
              </w:rPr>
              <w:t>方案</w:t>
            </w:r>
          </w:p>
          <w:p w14:paraId="00227960">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w:t>
            </w:r>
            <w:r>
              <w:rPr>
                <w:rFonts w:hint="eastAsia" w:hAnsi="宋体"/>
                <w:sz w:val="21"/>
                <w:szCs w:val="21"/>
                <w:highlight w:val="none"/>
                <w:lang w:val="en-US" w:eastAsia="zh-CN"/>
              </w:rPr>
              <w:t>暗标</w:t>
            </w:r>
            <w:r>
              <w:rPr>
                <w:rFonts w:hint="eastAsia" w:hAnsi="宋体"/>
                <w:sz w:val="21"/>
                <w:szCs w:val="21"/>
                <w:highlight w:val="none"/>
                <w:lang w:eastAsia="zh-CN"/>
              </w:rPr>
              <w:t>）</w:t>
            </w:r>
          </w:p>
        </w:tc>
        <w:tc>
          <w:tcPr>
            <w:tcW w:w="675" w:type="dxa"/>
            <w:vMerge w:val="restart"/>
            <w:tcBorders>
              <w:top w:val="single" w:color="auto" w:sz="4" w:space="0"/>
            </w:tcBorders>
            <w:vAlign w:val="center"/>
          </w:tcPr>
          <w:p w14:paraId="00227961">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40</w:t>
            </w:r>
            <w:r>
              <w:rPr>
                <w:rFonts w:hint="eastAsia" w:hAnsi="宋体"/>
                <w:sz w:val="21"/>
                <w:szCs w:val="21"/>
                <w:highlight w:val="none"/>
              </w:rPr>
              <w:t>分</w:t>
            </w:r>
          </w:p>
        </w:tc>
        <w:tc>
          <w:tcPr>
            <w:tcW w:w="1463" w:type="dxa"/>
            <w:tcBorders>
              <w:top w:val="single" w:color="auto" w:sz="4" w:space="0"/>
            </w:tcBorders>
            <w:vAlign w:val="center"/>
          </w:tcPr>
          <w:p w14:paraId="00227962">
            <w:pPr>
              <w:pStyle w:val="5"/>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sz w:val="21"/>
                <w:szCs w:val="21"/>
                <w:highlight w:val="none"/>
                <w:lang w:eastAsia="zh-CN"/>
              </w:rPr>
            </w:pPr>
            <w:r>
              <w:rPr>
                <w:rFonts w:hint="eastAsia"/>
                <w:sz w:val="21"/>
                <w:szCs w:val="21"/>
                <w:highlight w:val="none"/>
                <w:lang w:val="en-US" w:eastAsia="zh-CN"/>
              </w:rPr>
              <w:t>工作大纲</w:t>
            </w:r>
          </w:p>
        </w:tc>
        <w:tc>
          <w:tcPr>
            <w:tcW w:w="712" w:type="dxa"/>
            <w:vAlign w:val="center"/>
          </w:tcPr>
          <w:p w14:paraId="00227963">
            <w:pPr>
              <w:pStyle w:val="5"/>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sz w:val="21"/>
                <w:szCs w:val="21"/>
                <w:highlight w:val="none"/>
                <w:lang w:eastAsia="zh-CN"/>
              </w:rPr>
            </w:pPr>
            <w:r>
              <w:rPr>
                <w:rFonts w:hint="eastAsia"/>
                <w:sz w:val="21"/>
                <w:szCs w:val="21"/>
                <w:highlight w:val="none"/>
                <w:lang w:val="en-US" w:eastAsia="zh-CN"/>
              </w:rPr>
              <w:t>10分</w:t>
            </w:r>
          </w:p>
        </w:tc>
        <w:tc>
          <w:tcPr>
            <w:tcW w:w="5082" w:type="dxa"/>
            <w:vAlign w:val="center"/>
          </w:tcPr>
          <w:p w14:paraId="5569171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color w:val="auto"/>
                <w:sz w:val="21"/>
                <w:szCs w:val="21"/>
                <w:highlight w:val="none"/>
                <w:lang w:val="en-US" w:eastAsia="zh-CN"/>
              </w:rPr>
            </w:pPr>
            <w:r>
              <w:rPr>
                <w:rFonts w:hint="eastAsia"/>
                <w:sz w:val="21"/>
                <w:szCs w:val="21"/>
                <w:highlight w:val="none"/>
                <w:lang w:val="en-US" w:eastAsia="zh-CN"/>
              </w:rPr>
              <w:t>工作大纲</w:t>
            </w:r>
            <w:r>
              <w:rPr>
                <w:rFonts w:hint="eastAsia" w:ascii="宋体" w:hAnsi="宋体" w:eastAsia="宋体" w:cs="宋体"/>
                <w:color w:val="auto"/>
                <w:sz w:val="21"/>
                <w:szCs w:val="21"/>
                <w:highlight w:val="none"/>
                <w:lang w:val="en-US" w:eastAsia="zh-CN"/>
              </w:rPr>
              <w:t>合理，内容详细，措施完善，可行性强，满足招标文件技术要求，得</w:t>
            </w:r>
            <w:r>
              <w:rPr>
                <w:rFonts w:hint="eastAsia" w:ascii="宋体" w:hAnsi="宋体" w:cs="宋体"/>
                <w:color w:val="auto"/>
                <w:sz w:val="21"/>
                <w:szCs w:val="21"/>
                <w:highlight w:val="none"/>
                <w:lang w:val="en-US" w:eastAsia="zh-CN"/>
              </w:rPr>
              <w:t>8.0-10.0</w:t>
            </w:r>
            <w:r>
              <w:rPr>
                <w:rFonts w:hint="eastAsia" w:ascii="宋体" w:hAnsi="宋体" w:eastAsia="宋体" w:cs="宋体"/>
                <w:color w:val="auto"/>
                <w:sz w:val="21"/>
                <w:szCs w:val="21"/>
                <w:highlight w:val="none"/>
                <w:lang w:val="en-US" w:eastAsia="zh-CN"/>
              </w:rPr>
              <w:t>分；</w:t>
            </w:r>
          </w:p>
          <w:p w14:paraId="5E13A549">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color w:val="auto"/>
                <w:sz w:val="21"/>
                <w:szCs w:val="21"/>
                <w:highlight w:val="none"/>
                <w:lang w:val="en-US" w:eastAsia="zh-CN"/>
              </w:rPr>
            </w:pPr>
            <w:r>
              <w:rPr>
                <w:rFonts w:hint="eastAsia"/>
                <w:sz w:val="21"/>
                <w:szCs w:val="21"/>
                <w:highlight w:val="none"/>
                <w:lang w:val="en-US" w:eastAsia="zh-CN"/>
              </w:rPr>
              <w:t>工作大纲</w:t>
            </w:r>
            <w:r>
              <w:rPr>
                <w:rFonts w:hint="eastAsia" w:ascii="宋体" w:hAnsi="宋体" w:eastAsia="宋体" w:cs="宋体"/>
                <w:color w:val="auto"/>
                <w:sz w:val="21"/>
                <w:szCs w:val="21"/>
                <w:highlight w:val="none"/>
                <w:lang w:val="en-US" w:eastAsia="zh-CN"/>
              </w:rPr>
              <w:t>比较合理，内容</w:t>
            </w:r>
            <w:r>
              <w:rPr>
                <w:rFonts w:hint="eastAsia" w:ascii="宋体" w:hAnsi="宋体" w:cs="宋体"/>
                <w:color w:val="auto"/>
                <w:sz w:val="21"/>
                <w:szCs w:val="21"/>
                <w:highlight w:val="none"/>
                <w:lang w:val="en-US" w:eastAsia="zh-CN"/>
              </w:rPr>
              <w:t>较</w:t>
            </w:r>
            <w:r>
              <w:rPr>
                <w:rFonts w:hint="eastAsia" w:ascii="宋体" w:hAnsi="宋体" w:eastAsia="宋体" w:cs="宋体"/>
                <w:color w:val="auto"/>
                <w:sz w:val="21"/>
                <w:szCs w:val="21"/>
                <w:highlight w:val="none"/>
                <w:lang w:val="en-US" w:eastAsia="zh-CN"/>
              </w:rPr>
              <w:t>详细，措施</w:t>
            </w:r>
            <w:r>
              <w:rPr>
                <w:rFonts w:hint="eastAsia" w:ascii="宋体" w:hAnsi="宋体" w:cs="宋体"/>
                <w:color w:val="auto"/>
                <w:sz w:val="21"/>
                <w:szCs w:val="21"/>
                <w:highlight w:val="none"/>
                <w:lang w:val="en-US" w:eastAsia="zh-CN"/>
              </w:rPr>
              <w:t>较</w:t>
            </w:r>
            <w:r>
              <w:rPr>
                <w:rFonts w:hint="eastAsia" w:ascii="宋体" w:hAnsi="宋体" w:eastAsia="宋体" w:cs="宋体"/>
                <w:color w:val="auto"/>
                <w:sz w:val="21"/>
                <w:szCs w:val="21"/>
                <w:highlight w:val="none"/>
                <w:lang w:val="en-US" w:eastAsia="zh-CN"/>
              </w:rPr>
              <w:t>合理，可行性较好，达到招标要求，得</w:t>
            </w:r>
            <w:r>
              <w:rPr>
                <w:rFonts w:hint="eastAsia" w:ascii="宋体" w:hAnsi="宋体" w:cs="宋体"/>
                <w:color w:val="auto"/>
                <w:sz w:val="21"/>
                <w:szCs w:val="21"/>
                <w:highlight w:val="none"/>
                <w:lang w:val="en-US" w:eastAsia="zh-CN"/>
              </w:rPr>
              <w:t>6.0-8.0</w:t>
            </w:r>
            <w:r>
              <w:rPr>
                <w:rFonts w:hint="eastAsia" w:ascii="宋体" w:hAnsi="宋体" w:eastAsia="宋体" w:cs="宋体"/>
                <w:color w:val="auto"/>
                <w:sz w:val="21"/>
                <w:szCs w:val="21"/>
                <w:highlight w:val="none"/>
                <w:lang w:val="en-US" w:eastAsia="zh-CN"/>
              </w:rPr>
              <w:t>分；</w:t>
            </w:r>
          </w:p>
          <w:p w14:paraId="3F99787F">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Ansi="宋体" w:cs="Times New Roman"/>
                <w:kern w:val="2"/>
                <w:sz w:val="21"/>
                <w:szCs w:val="21"/>
                <w:highlight w:val="none"/>
                <w:lang w:eastAsia="zh-CN"/>
              </w:rPr>
            </w:pPr>
            <w:r>
              <w:rPr>
                <w:rFonts w:hint="eastAsia"/>
                <w:sz w:val="21"/>
                <w:szCs w:val="21"/>
                <w:highlight w:val="none"/>
                <w:lang w:val="en-US" w:eastAsia="zh-CN"/>
              </w:rPr>
              <w:t>工作大纲</w:t>
            </w:r>
            <w:r>
              <w:rPr>
                <w:rFonts w:hint="eastAsia" w:ascii="宋体" w:hAnsi="宋体" w:eastAsia="宋体" w:cs="宋体"/>
                <w:color w:val="auto"/>
                <w:sz w:val="21"/>
                <w:szCs w:val="21"/>
                <w:highlight w:val="none"/>
                <w:lang w:val="en-US" w:eastAsia="zh-CN"/>
              </w:rPr>
              <w:t>内容</w:t>
            </w:r>
            <w:r>
              <w:rPr>
                <w:rFonts w:hint="eastAsia"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val="en-US" w:eastAsia="zh-CN"/>
              </w:rPr>
              <w:t>完善，措施</w:t>
            </w:r>
            <w:r>
              <w:rPr>
                <w:rFonts w:hint="eastAsia"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val="en-US" w:eastAsia="zh-CN"/>
              </w:rPr>
              <w:t>合理，</w:t>
            </w:r>
            <w:r>
              <w:rPr>
                <w:rFonts w:hint="eastAsia"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val="en-US" w:eastAsia="zh-CN"/>
              </w:rPr>
              <w:t>可行，得</w:t>
            </w:r>
            <w:r>
              <w:rPr>
                <w:rFonts w:hint="eastAsia" w:hAnsi="宋体" w:cs="宋体"/>
                <w:color w:val="auto"/>
                <w:sz w:val="21"/>
                <w:szCs w:val="21"/>
                <w:highlight w:val="none"/>
                <w:lang w:val="en-US" w:eastAsia="zh-CN"/>
              </w:rPr>
              <w:t>6.0</w:t>
            </w:r>
            <w:r>
              <w:rPr>
                <w:rFonts w:hint="eastAsia" w:ascii="宋体" w:hAnsi="宋体" w:eastAsia="宋体" w:cs="宋体"/>
                <w:color w:val="auto"/>
                <w:sz w:val="21"/>
                <w:szCs w:val="21"/>
                <w:highlight w:val="none"/>
                <w:lang w:val="en-US" w:eastAsia="zh-CN"/>
              </w:rPr>
              <w:t>分。</w:t>
            </w:r>
          </w:p>
        </w:tc>
      </w:tr>
      <w:tr w14:paraId="00227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vAlign w:val="center"/>
          </w:tcPr>
          <w:p w14:paraId="00227968">
            <w:pPr>
              <w:pStyle w:val="5"/>
              <w:snapToGrid w:val="0"/>
              <w:spacing w:line="320" w:lineRule="exact"/>
              <w:jc w:val="center"/>
              <w:rPr>
                <w:rFonts w:hint="eastAsia" w:hAnsi="宋体"/>
                <w:sz w:val="21"/>
                <w:szCs w:val="21"/>
                <w:highlight w:val="none"/>
                <w:lang w:eastAsia="zh-CN"/>
              </w:rPr>
            </w:pPr>
          </w:p>
        </w:tc>
        <w:tc>
          <w:tcPr>
            <w:tcW w:w="979" w:type="dxa"/>
            <w:vMerge w:val="continue"/>
            <w:vAlign w:val="center"/>
          </w:tcPr>
          <w:p w14:paraId="00227969">
            <w:pPr>
              <w:pStyle w:val="5"/>
              <w:snapToGrid w:val="0"/>
              <w:spacing w:line="320" w:lineRule="exact"/>
              <w:jc w:val="center"/>
              <w:rPr>
                <w:rFonts w:hint="eastAsia" w:hAnsi="宋体"/>
                <w:sz w:val="21"/>
                <w:szCs w:val="21"/>
                <w:highlight w:val="none"/>
                <w:lang w:eastAsia="zh-CN"/>
              </w:rPr>
            </w:pPr>
          </w:p>
        </w:tc>
        <w:tc>
          <w:tcPr>
            <w:tcW w:w="675" w:type="dxa"/>
            <w:vMerge w:val="continue"/>
            <w:vAlign w:val="center"/>
          </w:tcPr>
          <w:p w14:paraId="0022796A">
            <w:pPr>
              <w:pStyle w:val="5"/>
              <w:snapToGrid w:val="0"/>
              <w:spacing w:line="320" w:lineRule="exact"/>
              <w:jc w:val="center"/>
              <w:rPr>
                <w:rFonts w:hint="eastAsia" w:hAnsi="宋体"/>
                <w:sz w:val="21"/>
                <w:szCs w:val="21"/>
                <w:highlight w:val="none"/>
                <w:lang w:eastAsia="zh-CN"/>
              </w:rPr>
            </w:pPr>
          </w:p>
        </w:tc>
        <w:tc>
          <w:tcPr>
            <w:tcW w:w="1463" w:type="dxa"/>
            <w:vAlign w:val="center"/>
          </w:tcPr>
          <w:p w14:paraId="0022796B">
            <w:pPr>
              <w:widowControl/>
              <w:snapToGrid w:val="0"/>
              <w:spacing w:line="320" w:lineRule="exact"/>
              <w:jc w:val="center"/>
              <w:textAlignment w:val="top"/>
              <w:rPr>
                <w:rFonts w:hint="eastAsia" w:hAnsi="宋体"/>
                <w:sz w:val="21"/>
                <w:szCs w:val="21"/>
                <w:highlight w:val="none"/>
                <w:lang w:eastAsia="zh-CN"/>
              </w:rPr>
            </w:pPr>
            <w:r>
              <w:rPr>
                <w:rFonts w:hint="eastAsia" w:ascii="宋体" w:hAnsi="宋体"/>
                <w:color w:val="000000"/>
                <w:sz w:val="21"/>
                <w:szCs w:val="21"/>
                <w:highlight w:val="none"/>
                <w:lang w:eastAsia="zh-CN" w:bidi="ar"/>
              </w:rPr>
              <w:t>进度、质量、安全及风险保证措施</w:t>
            </w:r>
          </w:p>
        </w:tc>
        <w:tc>
          <w:tcPr>
            <w:tcW w:w="712" w:type="dxa"/>
            <w:vAlign w:val="center"/>
          </w:tcPr>
          <w:p w14:paraId="0022796C">
            <w:pPr>
              <w:widowControl/>
              <w:snapToGrid w:val="0"/>
              <w:spacing w:line="320" w:lineRule="exact"/>
              <w:jc w:val="center"/>
              <w:textAlignment w:val="top"/>
              <w:rPr>
                <w:rFonts w:hint="eastAsia" w:hAnsi="宋体"/>
                <w:sz w:val="21"/>
                <w:szCs w:val="21"/>
                <w:highlight w:val="none"/>
              </w:rPr>
            </w:pPr>
            <w:r>
              <w:rPr>
                <w:rFonts w:hint="eastAsia" w:ascii="宋体" w:hAnsi="宋体"/>
                <w:color w:val="000000"/>
                <w:sz w:val="21"/>
                <w:szCs w:val="21"/>
                <w:highlight w:val="none"/>
                <w:lang w:eastAsia="zh-CN" w:bidi="ar"/>
              </w:rPr>
              <w:t>10分</w:t>
            </w:r>
          </w:p>
        </w:tc>
        <w:tc>
          <w:tcPr>
            <w:tcW w:w="5082" w:type="dxa"/>
            <w:vAlign w:val="top"/>
          </w:tcPr>
          <w:p w14:paraId="0022796F">
            <w:pPr>
              <w:widowControl/>
              <w:snapToGrid w:val="0"/>
              <w:spacing w:line="320" w:lineRule="exact"/>
              <w:textAlignment w:val="top"/>
              <w:rPr>
                <w:rFonts w:hint="eastAsia" w:hAnsi="宋体"/>
                <w:spacing w:val="-4"/>
                <w:sz w:val="21"/>
                <w:szCs w:val="21"/>
                <w:highlight w:val="none"/>
                <w:lang w:eastAsia="zh-CN"/>
              </w:rPr>
            </w:pPr>
            <w:r>
              <w:rPr>
                <w:rFonts w:hint="eastAsia" w:ascii="宋体" w:hAnsi="宋体"/>
                <w:color w:val="000000"/>
                <w:sz w:val="21"/>
                <w:szCs w:val="21"/>
                <w:highlight w:val="none"/>
                <w:lang w:eastAsia="zh-CN" w:bidi="ar"/>
              </w:rPr>
              <w:t>1. 保障方案详尽完善，对进度、质量、安全及风险的分析具体全面、贴合项目实际，对应保证措施科学严谨、可操作性强，得8.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 保障方案较全面，对进度、质量、安全及风险的分析细致合理、贴合项目实际，对应保证措施全面规范、针对性较强，可实施性较好，得6.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 保障方案基本可行，对进度、质量、安全及风险的分析基本全面、贴合项目基础需求，对应保证措施基本规范、无明显缺失，可实施性一般，得6.0分。</w:t>
            </w:r>
          </w:p>
        </w:tc>
      </w:tr>
      <w:tr w14:paraId="0022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741" w:type="dxa"/>
            <w:vMerge w:val="continue"/>
            <w:vAlign w:val="center"/>
          </w:tcPr>
          <w:p w14:paraId="00227971">
            <w:pPr>
              <w:pStyle w:val="5"/>
              <w:snapToGrid w:val="0"/>
              <w:spacing w:line="320" w:lineRule="exact"/>
              <w:jc w:val="center"/>
              <w:rPr>
                <w:rFonts w:hint="eastAsia" w:hAnsi="宋体"/>
                <w:sz w:val="21"/>
                <w:szCs w:val="21"/>
                <w:highlight w:val="none"/>
                <w:lang w:eastAsia="zh-CN"/>
              </w:rPr>
            </w:pPr>
          </w:p>
        </w:tc>
        <w:tc>
          <w:tcPr>
            <w:tcW w:w="979" w:type="dxa"/>
            <w:vMerge w:val="continue"/>
            <w:vAlign w:val="center"/>
          </w:tcPr>
          <w:p w14:paraId="00227972">
            <w:pPr>
              <w:pStyle w:val="5"/>
              <w:snapToGrid w:val="0"/>
              <w:spacing w:line="320" w:lineRule="exact"/>
              <w:jc w:val="center"/>
              <w:rPr>
                <w:rFonts w:hint="eastAsia" w:hAnsi="宋体"/>
                <w:sz w:val="21"/>
                <w:szCs w:val="21"/>
                <w:highlight w:val="none"/>
                <w:lang w:eastAsia="zh-CN"/>
              </w:rPr>
            </w:pPr>
          </w:p>
        </w:tc>
        <w:tc>
          <w:tcPr>
            <w:tcW w:w="675" w:type="dxa"/>
            <w:vMerge w:val="continue"/>
            <w:vAlign w:val="center"/>
          </w:tcPr>
          <w:p w14:paraId="00227973">
            <w:pPr>
              <w:pStyle w:val="5"/>
              <w:snapToGrid w:val="0"/>
              <w:spacing w:line="320" w:lineRule="exact"/>
              <w:jc w:val="center"/>
              <w:rPr>
                <w:rFonts w:hint="eastAsia" w:hAnsi="宋体"/>
                <w:sz w:val="21"/>
                <w:szCs w:val="21"/>
                <w:highlight w:val="none"/>
                <w:lang w:eastAsia="zh-CN"/>
              </w:rPr>
            </w:pPr>
          </w:p>
        </w:tc>
        <w:tc>
          <w:tcPr>
            <w:tcW w:w="1463" w:type="dxa"/>
            <w:vAlign w:val="center"/>
          </w:tcPr>
          <w:p w14:paraId="00227974">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right="15" w:rightChars="0" w:firstLine="0" w:firstLineChars="0"/>
              <w:jc w:val="center"/>
              <w:textAlignment w:val="auto"/>
              <w:rPr>
                <w:rFonts w:hint="eastAsia" w:hAnsi="宋体"/>
                <w:sz w:val="21"/>
                <w:szCs w:val="21"/>
                <w:highlight w:val="none"/>
                <w:lang w:eastAsia="zh-CN"/>
              </w:rPr>
            </w:pPr>
            <w:r>
              <w:rPr>
                <w:rFonts w:hint="eastAsia" w:ascii="宋体" w:hAnsi="宋体" w:eastAsia="宋体" w:cs="宋体"/>
                <w:i w:val="0"/>
                <w:iCs w:val="0"/>
                <w:caps w:val="0"/>
                <w:color w:val="000000"/>
                <w:spacing w:val="0"/>
                <w:sz w:val="21"/>
                <w:szCs w:val="21"/>
                <w:highlight w:val="none"/>
              </w:rPr>
              <w:t>测评工作流程</w:t>
            </w:r>
          </w:p>
        </w:tc>
        <w:tc>
          <w:tcPr>
            <w:tcW w:w="712" w:type="dxa"/>
            <w:vAlign w:val="center"/>
          </w:tcPr>
          <w:p w14:paraId="00227975">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eastAsia" w:hAnsi="宋体"/>
                <w:sz w:val="21"/>
                <w:szCs w:val="21"/>
                <w:highlight w:val="none"/>
              </w:rPr>
            </w:pPr>
            <w:r>
              <w:rPr>
                <w:rFonts w:hint="eastAsia" w:cs="宋体"/>
                <w:i w:val="0"/>
                <w:iCs w:val="0"/>
                <w:caps w:val="0"/>
                <w:color w:val="000000"/>
                <w:spacing w:val="0"/>
                <w:sz w:val="21"/>
                <w:szCs w:val="21"/>
                <w:highlight w:val="none"/>
                <w:lang w:val="en-US" w:eastAsia="zh-CN"/>
              </w:rPr>
              <w:t>10</w:t>
            </w:r>
            <w:r>
              <w:rPr>
                <w:rFonts w:hint="eastAsia" w:ascii="宋体" w:hAnsi="宋体" w:eastAsia="宋体" w:cs="宋体"/>
                <w:i w:val="0"/>
                <w:iCs w:val="0"/>
                <w:caps w:val="0"/>
                <w:color w:val="000000"/>
                <w:spacing w:val="0"/>
                <w:sz w:val="21"/>
                <w:szCs w:val="21"/>
                <w:highlight w:val="none"/>
              </w:rPr>
              <w:t>分</w:t>
            </w:r>
          </w:p>
        </w:tc>
        <w:tc>
          <w:tcPr>
            <w:tcW w:w="5082" w:type="dxa"/>
            <w:vAlign w:val="center"/>
          </w:tcPr>
          <w:p w14:paraId="2AD2774C">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textAlignment w:val="auto"/>
              <w:rPr>
                <w:rFonts w:hint="default" w:ascii="宋体" w:hAnsi="宋体" w:eastAsia="宋体" w:cs="宋体"/>
                <w:i w:val="0"/>
                <w:iCs w:val="0"/>
                <w:caps w:val="0"/>
                <w:color w:val="000000"/>
                <w:spacing w:val="0"/>
                <w:sz w:val="21"/>
                <w:szCs w:val="21"/>
                <w:highlight w:val="none"/>
                <w:lang w:val="en-US" w:eastAsia="zh-CN"/>
              </w:rPr>
            </w:pPr>
            <w:r>
              <w:rPr>
                <w:rFonts w:hint="eastAsia" w:cs="宋体"/>
                <w:i w:val="0"/>
                <w:iCs w:val="0"/>
                <w:caps w:val="0"/>
                <w:color w:val="000000"/>
                <w:spacing w:val="0"/>
                <w:sz w:val="21"/>
                <w:szCs w:val="21"/>
                <w:highlight w:val="none"/>
                <w:lang w:val="en-US" w:eastAsia="zh-CN"/>
              </w:rPr>
              <w:t>1.</w:t>
            </w:r>
            <w:r>
              <w:rPr>
                <w:rFonts w:hint="eastAsia" w:ascii="宋体" w:hAnsi="宋体" w:eastAsia="宋体" w:cs="宋体"/>
                <w:i w:val="0"/>
                <w:iCs w:val="0"/>
                <w:caps w:val="0"/>
                <w:color w:val="000000"/>
                <w:spacing w:val="0"/>
                <w:sz w:val="21"/>
                <w:szCs w:val="21"/>
                <w:highlight w:val="none"/>
              </w:rPr>
              <w:t>科学先进，措施完善，可操作性强</w:t>
            </w:r>
            <w:r>
              <w:rPr>
                <w:rFonts w:hint="eastAsia" w:cs="宋体"/>
                <w:i w:val="0"/>
                <w:iCs w:val="0"/>
                <w:caps w:val="0"/>
                <w:color w:val="000000"/>
                <w:spacing w:val="0"/>
                <w:sz w:val="21"/>
                <w:szCs w:val="21"/>
                <w:highlight w:val="none"/>
                <w:lang w:val="en-US" w:eastAsia="zh-CN"/>
              </w:rPr>
              <w:t>8.0</w:t>
            </w:r>
            <w:r>
              <w:rPr>
                <w:rFonts w:hint="eastAsia" w:ascii="宋体" w:hAnsi="宋体" w:eastAsia="宋体" w:cs="宋体"/>
                <w:i w:val="0"/>
                <w:iCs w:val="0"/>
                <w:caps w:val="0"/>
                <w:color w:val="000000"/>
                <w:spacing w:val="0"/>
                <w:sz w:val="21"/>
                <w:szCs w:val="21"/>
                <w:highlight w:val="none"/>
              </w:rPr>
              <w:t>-</w:t>
            </w:r>
            <w:r>
              <w:rPr>
                <w:rFonts w:hint="eastAsia" w:cs="宋体"/>
                <w:i w:val="0"/>
                <w:iCs w:val="0"/>
                <w:caps w:val="0"/>
                <w:color w:val="000000"/>
                <w:spacing w:val="0"/>
                <w:sz w:val="21"/>
                <w:szCs w:val="21"/>
                <w:highlight w:val="none"/>
                <w:lang w:val="en-US" w:eastAsia="zh-CN"/>
              </w:rPr>
              <w:t>10.0</w:t>
            </w:r>
            <w:r>
              <w:rPr>
                <w:rFonts w:hint="eastAsia" w:ascii="宋体" w:hAnsi="宋体" w:eastAsia="宋体" w:cs="宋体"/>
                <w:i w:val="0"/>
                <w:iCs w:val="0"/>
                <w:caps w:val="0"/>
                <w:color w:val="000000"/>
                <w:spacing w:val="0"/>
                <w:sz w:val="21"/>
                <w:szCs w:val="21"/>
                <w:highlight w:val="none"/>
              </w:rPr>
              <w:t>分。</w:t>
            </w:r>
          </w:p>
          <w:p w14:paraId="4CAC4671">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textAlignment w:val="auto"/>
              <w:rPr>
                <w:rFonts w:hint="eastAsia" w:ascii="宋体" w:hAnsi="宋体" w:eastAsia="宋体" w:cs="宋体"/>
                <w:i w:val="0"/>
                <w:iCs w:val="0"/>
                <w:caps w:val="0"/>
                <w:color w:val="000000"/>
                <w:spacing w:val="0"/>
                <w:sz w:val="21"/>
                <w:szCs w:val="21"/>
                <w:highlight w:val="none"/>
              </w:rPr>
            </w:pPr>
            <w:r>
              <w:rPr>
                <w:rFonts w:hint="eastAsia" w:cs="宋体"/>
                <w:i w:val="0"/>
                <w:iCs w:val="0"/>
                <w:caps w:val="0"/>
                <w:color w:val="000000"/>
                <w:spacing w:val="0"/>
                <w:sz w:val="21"/>
                <w:szCs w:val="21"/>
                <w:highlight w:val="none"/>
                <w:lang w:val="en-US" w:eastAsia="zh-CN"/>
              </w:rPr>
              <w:t>2.</w:t>
            </w:r>
            <w:r>
              <w:rPr>
                <w:rFonts w:hint="eastAsia" w:ascii="宋体" w:hAnsi="宋体" w:eastAsia="宋体" w:cs="宋体"/>
                <w:i w:val="0"/>
                <w:iCs w:val="0"/>
                <w:caps w:val="0"/>
                <w:color w:val="000000"/>
                <w:spacing w:val="0"/>
                <w:sz w:val="21"/>
                <w:szCs w:val="21"/>
                <w:highlight w:val="none"/>
              </w:rPr>
              <w:t>合理，可行</w:t>
            </w:r>
            <w:r>
              <w:rPr>
                <w:rFonts w:hint="eastAsia" w:cs="宋体"/>
                <w:i w:val="0"/>
                <w:iCs w:val="0"/>
                <w:caps w:val="0"/>
                <w:color w:val="000000"/>
                <w:spacing w:val="0"/>
                <w:sz w:val="21"/>
                <w:szCs w:val="21"/>
                <w:highlight w:val="none"/>
                <w:lang w:val="en-US" w:eastAsia="zh-CN"/>
              </w:rPr>
              <w:t>6.0</w:t>
            </w:r>
            <w:r>
              <w:rPr>
                <w:rFonts w:hint="eastAsia" w:ascii="宋体" w:hAnsi="宋体" w:eastAsia="宋体" w:cs="宋体"/>
                <w:i w:val="0"/>
                <w:iCs w:val="0"/>
                <w:caps w:val="0"/>
                <w:color w:val="000000"/>
                <w:spacing w:val="0"/>
                <w:sz w:val="21"/>
                <w:szCs w:val="21"/>
                <w:highlight w:val="none"/>
              </w:rPr>
              <w:t>-</w:t>
            </w:r>
            <w:r>
              <w:rPr>
                <w:rFonts w:hint="eastAsia" w:cs="宋体"/>
                <w:i w:val="0"/>
                <w:iCs w:val="0"/>
                <w:caps w:val="0"/>
                <w:color w:val="000000"/>
                <w:spacing w:val="0"/>
                <w:sz w:val="21"/>
                <w:szCs w:val="21"/>
                <w:highlight w:val="none"/>
                <w:lang w:val="en-US" w:eastAsia="zh-CN"/>
              </w:rPr>
              <w:t>8.0</w:t>
            </w:r>
            <w:r>
              <w:rPr>
                <w:rFonts w:hint="eastAsia" w:ascii="宋体" w:hAnsi="宋体" w:eastAsia="宋体" w:cs="宋体"/>
                <w:i w:val="0"/>
                <w:iCs w:val="0"/>
                <w:caps w:val="0"/>
                <w:color w:val="000000"/>
                <w:spacing w:val="0"/>
                <w:sz w:val="21"/>
                <w:szCs w:val="21"/>
                <w:highlight w:val="none"/>
              </w:rPr>
              <w:t>分；</w:t>
            </w:r>
          </w:p>
          <w:p w14:paraId="17B20239">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textAlignment w:val="auto"/>
              <w:rPr>
                <w:rFonts w:hint="eastAsia" w:ascii="宋体" w:hAnsi="宋体" w:eastAsia="宋体" w:cs="宋体"/>
                <w:i w:val="0"/>
                <w:iCs w:val="0"/>
                <w:caps w:val="0"/>
                <w:color w:val="000000"/>
                <w:spacing w:val="0"/>
                <w:sz w:val="21"/>
                <w:szCs w:val="21"/>
                <w:highlight w:val="none"/>
                <w:lang w:eastAsia="zh-CN"/>
              </w:rPr>
            </w:pPr>
            <w:r>
              <w:rPr>
                <w:rFonts w:hint="eastAsia" w:cs="宋体"/>
                <w:i w:val="0"/>
                <w:iCs w:val="0"/>
                <w:caps w:val="0"/>
                <w:color w:val="000000"/>
                <w:spacing w:val="0"/>
                <w:sz w:val="21"/>
                <w:szCs w:val="21"/>
                <w:highlight w:val="none"/>
                <w:lang w:val="en-US" w:eastAsia="zh-CN"/>
              </w:rPr>
              <w:t>3.</w:t>
            </w:r>
            <w:r>
              <w:rPr>
                <w:rFonts w:hint="eastAsia" w:ascii="宋体" w:hAnsi="宋体" w:eastAsia="宋体" w:cs="宋体"/>
                <w:i w:val="0"/>
                <w:iCs w:val="0"/>
                <w:caps w:val="0"/>
                <w:color w:val="000000"/>
                <w:spacing w:val="0"/>
                <w:sz w:val="21"/>
                <w:szCs w:val="21"/>
                <w:highlight w:val="none"/>
              </w:rPr>
              <w:t>措施一般</w:t>
            </w:r>
            <w:r>
              <w:rPr>
                <w:rFonts w:hint="eastAsia" w:cs="宋体"/>
                <w:i w:val="0"/>
                <w:iCs w:val="0"/>
                <w:caps w:val="0"/>
                <w:color w:val="000000"/>
                <w:spacing w:val="0"/>
                <w:sz w:val="21"/>
                <w:szCs w:val="21"/>
                <w:highlight w:val="none"/>
                <w:lang w:val="en-US" w:eastAsia="zh-CN"/>
              </w:rPr>
              <w:t>6.0</w:t>
            </w:r>
            <w:r>
              <w:rPr>
                <w:rFonts w:hint="eastAsia" w:ascii="宋体" w:hAnsi="宋体" w:eastAsia="宋体" w:cs="宋体"/>
                <w:i w:val="0"/>
                <w:iCs w:val="0"/>
                <w:caps w:val="0"/>
                <w:color w:val="000000"/>
                <w:spacing w:val="0"/>
                <w:sz w:val="21"/>
                <w:szCs w:val="21"/>
                <w:highlight w:val="none"/>
              </w:rPr>
              <w:t>分；</w:t>
            </w:r>
          </w:p>
        </w:tc>
      </w:tr>
      <w:tr w14:paraId="213C7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741" w:type="dxa"/>
            <w:vMerge w:val="continue"/>
            <w:vAlign w:val="center"/>
          </w:tcPr>
          <w:p w14:paraId="018471B2">
            <w:pPr>
              <w:pStyle w:val="5"/>
              <w:snapToGrid w:val="0"/>
              <w:spacing w:line="320" w:lineRule="exact"/>
              <w:jc w:val="center"/>
              <w:rPr>
                <w:rFonts w:hint="eastAsia" w:hAnsi="宋体"/>
                <w:sz w:val="21"/>
                <w:szCs w:val="21"/>
                <w:highlight w:val="none"/>
                <w:lang w:eastAsia="zh-CN"/>
              </w:rPr>
            </w:pPr>
          </w:p>
        </w:tc>
        <w:tc>
          <w:tcPr>
            <w:tcW w:w="979" w:type="dxa"/>
            <w:vMerge w:val="continue"/>
            <w:vAlign w:val="center"/>
          </w:tcPr>
          <w:p w14:paraId="6CD4E4E9">
            <w:pPr>
              <w:pStyle w:val="5"/>
              <w:snapToGrid w:val="0"/>
              <w:spacing w:line="320" w:lineRule="exact"/>
              <w:jc w:val="center"/>
              <w:rPr>
                <w:rFonts w:hint="eastAsia" w:hAnsi="宋体"/>
                <w:sz w:val="21"/>
                <w:szCs w:val="21"/>
                <w:highlight w:val="none"/>
                <w:lang w:eastAsia="zh-CN"/>
              </w:rPr>
            </w:pPr>
          </w:p>
        </w:tc>
        <w:tc>
          <w:tcPr>
            <w:tcW w:w="675" w:type="dxa"/>
            <w:vMerge w:val="continue"/>
            <w:vAlign w:val="center"/>
          </w:tcPr>
          <w:p w14:paraId="7FCEEB72">
            <w:pPr>
              <w:pStyle w:val="5"/>
              <w:snapToGrid w:val="0"/>
              <w:spacing w:line="320" w:lineRule="exact"/>
              <w:jc w:val="center"/>
              <w:rPr>
                <w:rFonts w:hint="eastAsia" w:hAnsi="宋体"/>
                <w:sz w:val="21"/>
                <w:szCs w:val="21"/>
                <w:highlight w:val="none"/>
                <w:lang w:eastAsia="zh-CN"/>
              </w:rPr>
            </w:pPr>
          </w:p>
        </w:tc>
        <w:tc>
          <w:tcPr>
            <w:tcW w:w="1463" w:type="dxa"/>
            <w:vAlign w:val="center"/>
          </w:tcPr>
          <w:p w14:paraId="745F1BCE">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eastAsia" w:hAnsi="宋体"/>
                <w:sz w:val="21"/>
                <w:szCs w:val="21"/>
                <w:highlight w:val="none"/>
                <w:lang w:eastAsia="zh-CN"/>
              </w:rPr>
            </w:pPr>
            <w:r>
              <w:rPr>
                <w:rFonts w:hint="eastAsia" w:ascii="宋体" w:hAnsi="宋体" w:eastAsia="宋体" w:cs="宋体"/>
                <w:i w:val="0"/>
                <w:iCs w:val="0"/>
                <w:caps w:val="0"/>
                <w:color w:val="000000"/>
                <w:spacing w:val="0"/>
                <w:sz w:val="21"/>
                <w:szCs w:val="21"/>
                <w:highlight w:val="none"/>
              </w:rPr>
              <w:t>可能发现出的问题类型提出切实可行的处理建议和维护方案</w:t>
            </w:r>
          </w:p>
        </w:tc>
        <w:tc>
          <w:tcPr>
            <w:tcW w:w="712" w:type="dxa"/>
            <w:vAlign w:val="center"/>
          </w:tcPr>
          <w:p w14:paraId="6AB997EB">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jc w:val="both"/>
              <w:textAlignment w:val="auto"/>
              <w:rPr>
                <w:rFonts w:hint="eastAsia" w:hAnsi="宋体"/>
                <w:sz w:val="21"/>
                <w:szCs w:val="21"/>
                <w:highlight w:val="none"/>
              </w:rPr>
            </w:pPr>
            <w:r>
              <w:rPr>
                <w:rFonts w:hint="eastAsia" w:cs="宋体"/>
                <w:i w:val="0"/>
                <w:iCs w:val="0"/>
                <w:caps w:val="0"/>
                <w:color w:val="000000"/>
                <w:spacing w:val="0"/>
                <w:sz w:val="21"/>
                <w:szCs w:val="21"/>
                <w:highlight w:val="none"/>
                <w:lang w:val="en-US" w:eastAsia="zh-CN"/>
              </w:rPr>
              <w:t>10</w:t>
            </w:r>
            <w:r>
              <w:rPr>
                <w:rFonts w:hint="eastAsia" w:ascii="宋体" w:hAnsi="宋体" w:eastAsia="宋体" w:cs="宋体"/>
                <w:i w:val="0"/>
                <w:iCs w:val="0"/>
                <w:caps w:val="0"/>
                <w:color w:val="000000"/>
                <w:spacing w:val="0"/>
                <w:sz w:val="21"/>
                <w:szCs w:val="21"/>
                <w:highlight w:val="none"/>
              </w:rPr>
              <w:t>分</w:t>
            </w:r>
          </w:p>
        </w:tc>
        <w:tc>
          <w:tcPr>
            <w:tcW w:w="5082" w:type="dxa"/>
            <w:vAlign w:val="center"/>
          </w:tcPr>
          <w:p w14:paraId="2298A91B">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textAlignment w:val="auto"/>
              <w:rPr>
                <w:rFonts w:hint="eastAsia" w:eastAsia="宋体" w:cs="宋体"/>
                <w:i w:val="0"/>
                <w:iCs w:val="0"/>
                <w:caps w:val="0"/>
                <w:color w:val="000000"/>
                <w:spacing w:val="0"/>
                <w:sz w:val="21"/>
                <w:szCs w:val="21"/>
                <w:highlight w:val="none"/>
                <w:lang w:val="en-US" w:eastAsia="zh-CN"/>
              </w:rPr>
            </w:pPr>
            <w:r>
              <w:rPr>
                <w:rFonts w:hint="eastAsia" w:cs="宋体"/>
                <w:i w:val="0"/>
                <w:iCs w:val="0"/>
                <w:caps w:val="0"/>
                <w:color w:val="000000"/>
                <w:spacing w:val="0"/>
                <w:sz w:val="21"/>
                <w:szCs w:val="21"/>
                <w:highlight w:val="none"/>
                <w:lang w:val="en-US" w:eastAsia="zh-CN"/>
              </w:rPr>
              <w:t>1.</w:t>
            </w:r>
            <w:r>
              <w:rPr>
                <w:rFonts w:hint="eastAsia" w:ascii="宋体" w:hAnsi="宋体" w:eastAsia="宋体" w:cs="宋体"/>
                <w:i w:val="0"/>
                <w:iCs w:val="0"/>
                <w:caps w:val="0"/>
                <w:color w:val="000000"/>
                <w:spacing w:val="0"/>
                <w:sz w:val="21"/>
                <w:szCs w:val="21"/>
                <w:highlight w:val="none"/>
              </w:rPr>
              <w:t>科学先进，措施完善，可操作性强</w:t>
            </w:r>
            <w:r>
              <w:rPr>
                <w:rFonts w:hint="eastAsia" w:cs="宋体"/>
                <w:i w:val="0"/>
                <w:iCs w:val="0"/>
                <w:caps w:val="0"/>
                <w:color w:val="000000"/>
                <w:spacing w:val="0"/>
                <w:sz w:val="21"/>
                <w:szCs w:val="21"/>
                <w:highlight w:val="none"/>
                <w:lang w:val="en-US" w:eastAsia="zh-CN"/>
              </w:rPr>
              <w:t>8.0</w:t>
            </w:r>
            <w:r>
              <w:rPr>
                <w:rFonts w:hint="eastAsia" w:ascii="宋体" w:hAnsi="宋体" w:eastAsia="宋体" w:cs="宋体"/>
                <w:i w:val="0"/>
                <w:iCs w:val="0"/>
                <w:caps w:val="0"/>
                <w:color w:val="000000"/>
                <w:spacing w:val="0"/>
                <w:sz w:val="21"/>
                <w:szCs w:val="21"/>
                <w:highlight w:val="none"/>
              </w:rPr>
              <w:t>-</w:t>
            </w:r>
            <w:r>
              <w:rPr>
                <w:rFonts w:hint="eastAsia" w:cs="宋体"/>
                <w:i w:val="0"/>
                <w:iCs w:val="0"/>
                <w:caps w:val="0"/>
                <w:color w:val="000000"/>
                <w:spacing w:val="0"/>
                <w:sz w:val="21"/>
                <w:szCs w:val="21"/>
                <w:highlight w:val="none"/>
                <w:lang w:val="en-US" w:eastAsia="zh-CN"/>
              </w:rPr>
              <w:t>10.0</w:t>
            </w:r>
            <w:r>
              <w:rPr>
                <w:rFonts w:hint="eastAsia" w:ascii="宋体" w:hAnsi="宋体" w:eastAsia="宋体" w:cs="宋体"/>
                <w:i w:val="0"/>
                <w:iCs w:val="0"/>
                <w:caps w:val="0"/>
                <w:color w:val="000000"/>
                <w:spacing w:val="0"/>
                <w:sz w:val="21"/>
                <w:szCs w:val="21"/>
                <w:highlight w:val="none"/>
              </w:rPr>
              <w:t>分</w:t>
            </w:r>
            <w:r>
              <w:rPr>
                <w:rFonts w:hint="eastAsia" w:cs="宋体"/>
                <w:i w:val="0"/>
                <w:iCs w:val="0"/>
                <w:caps w:val="0"/>
                <w:color w:val="000000"/>
                <w:spacing w:val="0"/>
                <w:sz w:val="21"/>
                <w:szCs w:val="21"/>
                <w:highlight w:val="none"/>
                <w:lang w:eastAsia="zh-CN"/>
              </w:rPr>
              <w:t>；</w:t>
            </w:r>
          </w:p>
          <w:p w14:paraId="6F21BD24">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textAlignment w:val="auto"/>
              <w:rPr>
                <w:rFonts w:hint="eastAsia" w:cs="宋体"/>
                <w:i w:val="0"/>
                <w:iCs w:val="0"/>
                <w:caps w:val="0"/>
                <w:color w:val="000000"/>
                <w:spacing w:val="0"/>
                <w:sz w:val="21"/>
                <w:szCs w:val="21"/>
                <w:highlight w:val="none"/>
                <w:lang w:val="en-US" w:eastAsia="zh-CN"/>
              </w:rPr>
            </w:pPr>
            <w:r>
              <w:rPr>
                <w:rFonts w:hint="eastAsia" w:cs="宋体"/>
                <w:i w:val="0"/>
                <w:iCs w:val="0"/>
                <w:caps w:val="0"/>
                <w:color w:val="000000"/>
                <w:spacing w:val="0"/>
                <w:sz w:val="21"/>
                <w:szCs w:val="21"/>
                <w:highlight w:val="none"/>
                <w:lang w:val="en-US" w:eastAsia="zh-CN"/>
              </w:rPr>
              <w:t>2.</w:t>
            </w:r>
            <w:r>
              <w:rPr>
                <w:rFonts w:hint="eastAsia" w:ascii="宋体" w:hAnsi="宋体" w:eastAsia="宋体" w:cs="宋体"/>
                <w:i w:val="0"/>
                <w:iCs w:val="0"/>
                <w:caps w:val="0"/>
                <w:color w:val="000000"/>
                <w:spacing w:val="0"/>
                <w:sz w:val="21"/>
                <w:szCs w:val="21"/>
                <w:highlight w:val="none"/>
              </w:rPr>
              <w:t>合理，可行</w:t>
            </w:r>
            <w:r>
              <w:rPr>
                <w:rFonts w:hint="eastAsia" w:cs="宋体"/>
                <w:i w:val="0"/>
                <w:iCs w:val="0"/>
                <w:caps w:val="0"/>
                <w:color w:val="000000"/>
                <w:spacing w:val="0"/>
                <w:sz w:val="21"/>
                <w:szCs w:val="21"/>
                <w:highlight w:val="none"/>
                <w:lang w:val="en-US" w:eastAsia="zh-CN"/>
              </w:rPr>
              <w:t>6.0</w:t>
            </w:r>
            <w:r>
              <w:rPr>
                <w:rFonts w:hint="eastAsia" w:ascii="宋体" w:hAnsi="宋体" w:eastAsia="宋体" w:cs="宋体"/>
                <w:i w:val="0"/>
                <w:iCs w:val="0"/>
                <w:caps w:val="0"/>
                <w:color w:val="000000"/>
                <w:spacing w:val="0"/>
                <w:sz w:val="21"/>
                <w:szCs w:val="21"/>
                <w:highlight w:val="none"/>
              </w:rPr>
              <w:t>-</w:t>
            </w:r>
            <w:r>
              <w:rPr>
                <w:rFonts w:hint="eastAsia" w:cs="宋体"/>
                <w:i w:val="0"/>
                <w:iCs w:val="0"/>
                <w:caps w:val="0"/>
                <w:color w:val="000000"/>
                <w:spacing w:val="0"/>
                <w:sz w:val="21"/>
                <w:szCs w:val="21"/>
                <w:highlight w:val="none"/>
                <w:lang w:val="en-US" w:eastAsia="zh-CN"/>
              </w:rPr>
              <w:t>8.0</w:t>
            </w:r>
            <w:r>
              <w:rPr>
                <w:rFonts w:hint="eastAsia" w:ascii="宋体" w:hAnsi="宋体" w:eastAsia="宋体" w:cs="宋体"/>
                <w:i w:val="0"/>
                <w:iCs w:val="0"/>
                <w:caps w:val="0"/>
                <w:color w:val="000000"/>
                <w:spacing w:val="0"/>
                <w:sz w:val="21"/>
                <w:szCs w:val="21"/>
                <w:highlight w:val="none"/>
              </w:rPr>
              <w:t>分；</w:t>
            </w:r>
          </w:p>
          <w:p w14:paraId="38D108AB">
            <w:pPr>
              <w:pStyle w:val="7"/>
              <w:keepNext w:val="0"/>
              <w:keepLines w:val="0"/>
              <w:pageBreakBefore w:val="0"/>
              <w:widowControl/>
              <w:suppressLineNumbers w:val="0"/>
              <w:kinsoku/>
              <w:wordWrap w:val="0"/>
              <w:overflowPunct/>
              <w:topLinePunct w:val="0"/>
              <w:autoSpaceDE/>
              <w:autoSpaceDN/>
              <w:bidi w:val="0"/>
              <w:adjustRightInd/>
              <w:snapToGrid w:val="0"/>
              <w:spacing w:before="0" w:beforeAutospacing="0" w:after="0" w:afterAutospacing="0" w:line="320" w:lineRule="exact"/>
              <w:ind w:left="0" w:leftChars="0" w:firstLine="0" w:firstLineChars="0"/>
              <w:textAlignment w:val="auto"/>
              <w:rPr>
                <w:rFonts w:hint="eastAsia" w:ascii="宋体" w:hAnsi="宋体"/>
                <w:sz w:val="21"/>
                <w:szCs w:val="21"/>
                <w:highlight w:val="none"/>
                <w:lang w:eastAsia="zh-CN"/>
              </w:rPr>
            </w:pPr>
            <w:r>
              <w:rPr>
                <w:rFonts w:hint="eastAsia" w:cs="宋体"/>
                <w:i w:val="0"/>
                <w:iCs w:val="0"/>
                <w:caps w:val="0"/>
                <w:color w:val="000000"/>
                <w:spacing w:val="0"/>
                <w:sz w:val="21"/>
                <w:szCs w:val="21"/>
                <w:highlight w:val="none"/>
                <w:lang w:val="en-US" w:eastAsia="zh-CN"/>
              </w:rPr>
              <w:t>3.</w:t>
            </w:r>
            <w:r>
              <w:rPr>
                <w:rFonts w:hint="eastAsia" w:ascii="宋体" w:hAnsi="宋体" w:eastAsia="宋体" w:cs="宋体"/>
                <w:i w:val="0"/>
                <w:iCs w:val="0"/>
                <w:caps w:val="0"/>
                <w:color w:val="000000"/>
                <w:spacing w:val="0"/>
                <w:sz w:val="21"/>
                <w:szCs w:val="21"/>
                <w:highlight w:val="none"/>
              </w:rPr>
              <w:t>措施一般</w:t>
            </w:r>
            <w:r>
              <w:rPr>
                <w:rFonts w:hint="eastAsia" w:cs="宋体"/>
                <w:i w:val="0"/>
                <w:iCs w:val="0"/>
                <w:caps w:val="0"/>
                <w:color w:val="000000"/>
                <w:spacing w:val="0"/>
                <w:sz w:val="21"/>
                <w:szCs w:val="21"/>
                <w:highlight w:val="none"/>
                <w:lang w:val="en-US" w:eastAsia="zh-CN"/>
              </w:rPr>
              <w:t>6.0</w:t>
            </w:r>
            <w:r>
              <w:rPr>
                <w:rFonts w:hint="eastAsia" w:ascii="宋体" w:hAnsi="宋体" w:eastAsia="宋体" w:cs="宋体"/>
                <w:i w:val="0"/>
                <w:iCs w:val="0"/>
                <w:caps w:val="0"/>
                <w:color w:val="000000"/>
                <w:spacing w:val="0"/>
                <w:sz w:val="21"/>
                <w:szCs w:val="21"/>
                <w:highlight w:val="none"/>
              </w:rPr>
              <w:t>分</w:t>
            </w:r>
            <w:r>
              <w:rPr>
                <w:rFonts w:hint="eastAsia" w:cs="宋体"/>
                <w:i w:val="0"/>
                <w:iCs w:val="0"/>
                <w:caps w:val="0"/>
                <w:color w:val="000000"/>
                <w:spacing w:val="0"/>
                <w:sz w:val="21"/>
                <w:szCs w:val="21"/>
                <w:highlight w:val="none"/>
                <w:lang w:eastAsia="zh-CN"/>
              </w:rPr>
              <w:t>。</w:t>
            </w:r>
          </w:p>
        </w:tc>
      </w:tr>
      <w:tr w14:paraId="0022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41" w:type="dxa"/>
            <w:tcBorders>
              <w:top w:val="nil"/>
            </w:tcBorders>
            <w:vAlign w:val="center"/>
          </w:tcPr>
          <w:p w14:paraId="0022798C">
            <w:pPr>
              <w:pStyle w:val="5"/>
              <w:snapToGrid w:val="0"/>
              <w:spacing w:line="320" w:lineRule="exact"/>
              <w:jc w:val="center"/>
              <w:rPr>
                <w:rFonts w:hint="eastAsia" w:hAnsi="宋体"/>
                <w:sz w:val="21"/>
                <w:szCs w:val="21"/>
                <w:highlight w:val="none"/>
              </w:rPr>
            </w:pPr>
            <w:r>
              <w:rPr>
                <w:rFonts w:hint="eastAsia" w:hAnsi="宋体"/>
                <w:sz w:val="21"/>
                <w:szCs w:val="21"/>
                <w:highlight w:val="none"/>
              </w:rPr>
              <w:t>2.2.4（2）</w:t>
            </w:r>
          </w:p>
        </w:tc>
        <w:tc>
          <w:tcPr>
            <w:tcW w:w="979" w:type="dxa"/>
            <w:tcBorders>
              <w:top w:val="nil"/>
            </w:tcBorders>
            <w:vAlign w:val="center"/>
          </w:tcPr>
          <w:p w14:paraId="0022798D">
            <w:pPr>
              <w:pStyle w:val="5"/>
              <w:snapToGrid w:val="0"/>
              <w:spacing w:line="320" w:lineRule="exact"/>
              <w:jc w:val="center"/>
              <w:rPr>
                <w:rFonts w:hint="eastAsia" w:hAnsi="宋体"/>
                <w:sz w:val="21"/>
                <w:szCs w:val="21"/>
                <w:highlight w:val="none"/>
              </w:rPr>
            </w:pPr>
            <w:r>
              <w:rPr>
                <w:rFonts w:hint="eastAsia" w:hAnsi="宋体"/>
                <w:sz w:val="21"/>
                <w:szCs w:val="21"/>
                <w:highlight w:val="none"/>
              </w:rPr>
              <w:t>主要人员</w:t>
            </w:r>
          </w:p>
        </w:tc>
        <w:tc>
          <w:tcPr>
            <w:tcW w:w="675" w:type="dxa"/>
            <w:tcBorders>
              <w:top w:val="nil"/>
            </w:tcBorders>
            <w:vAlign w:val="center"/>
          </w:tcPr>
          <w:p w14:paraId="0022798E">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10</w:t>
            </w:r>
            <w:r>
              <w:rPr>
                <w:rFonts w:hint="eastAsia" w:hAnsi="宋体"/>
                <w:sz w:val="21"/>
                <w:szCs w:val="21"/>
                <w:highlight w:val="none"/>
              </w:rPr>
              <w:t>分</w:t>
            </w:r>
          </w:p>
        </w:tc>
        <w:tc>
          <w:tcPr>
            <w:tcW w:w="1463" w:type="dxa"/>
            <w:vAlign w:val="center"/>
          </w:tcPr>
          <w:p w14:paraId="0022798F">
            <w:pPr>
              <w:snapToGrid w:val="0"/>
              <w:spacing w:line="320" w:lineRule="exact"/>
              <w:jc w:val="center"/>
              <w:rPr>
                <w:rFonts w:hint="eastAsia" w:ascii="宋体" w:hAnsi="宋体"/>
                <w:kern w:val="2"/>
                <w:sz w:val="21"/>
                <w:szCs w:val="21"/>
                <w:highlight w:val="none"/>
              </w:rPr>
            </w:pPr>
            <w:r>
              <w:rPr>
                <w:rFonts w:hint="eastAsia" w:ascii="宋体" w:hAnsi="宋体"/>
                <w:kern w:val="2"/>
                <w:sz w:val="21"/>
                <w:szCs w:val="21"/>
                <w:highlight w:val="none"/>
              </w:rPr>
              <w:t>项目负责人</w:t>
            </w:r>
          </w:p>
        </w:tc>
        <w:tc>
          <w:tcPr>
            <w:tcW w:w="712" w:type="dxa"/>
            <w:vAlign w:val="center"/>
          </w:tcPr>
          <w:p w14:paraId="00227990">
            <w:pPr>
              <w:pStyle w:val="5"/>
              <w:snapToGrid w:val="0"/>
              <w:spacing w:line="320" w:lineRule="exact"/>
              <w:jc w:val="center"/>
              <w:rPr>
                <w:rFonts w:hint="eastAsia" w:hAnsi="宋体"/>
                <w:sz w:val="21"/>
                <w:szCs w:val="21"/>
                <w:highlight w:val="none"/>
              </w:rPr>
            </w:pPr>
            <w:r>
              <w:rPr>
                <w:rFonts w:hint="eastAsia" w:hAnsi="宋体"/>
                <w:sz w:val="21"/>
                <w:szCs w:val="21"/>
                <w:highlight w:val="none"/>
                <w:lang w:eastAsia="zh-CN"/>
              </w:rPr>
              <w:t>10</w:t>
            </w:r>
            <w:r>
              <w:rPr>
                <w:rFonts w:hint="eastAsia" w:hAnsi="宋体"/>
                <w:sz w:val="21"/>
                <w:szCs w:val="21"/>
                <w:highlight w:val="none"/>
              </w:rPr>
              <w:t>分</w:t>
            </w:r>
          </w:p>
        </w:tc>
        <w:tc>
          <w:tcPr>
            <w:tcW w:w="5082" w:type="dxa"/>
            <w:tcBorders>
              <w:bottom w:val="single" w:color="auto" w:sz="4" w:space="0"/>
            </w:tcBorders>
            <w:vAlign w:val="center"/>
          </w:tcPr>
          <w:p w14:paraId="307BEC65">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投标人满足“资格审查条件（项目负责人最低要求）”得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p>
          <w:p w14:paraId="477D78B7">
            <w:pPr>
              <w:pStyle w:val="4"/>
              <w:snapToGrid w:val="0"/>
              <w:spacing w:line="320" w:lineRule="exact"/>
              <w:rPr>
                <w:rFonts w:hint="eastAsia" w:ascii="宋体" w:hAnsi="宋体"/>
                <w:sz w:val="21"/>
                <w:szCs w:val="21"/>
                <w:highlight w:val="none"/>
                <w:lang w:eastAsia="zh-CN"/>
              </w:rPr>
            </w:pPr>
            <w:r>
              <w:rPr>
                <w:rFonts w:hint="eastAsia" w:eastAsia="宋体"/>
                <w:color w:val="auto"/>
                <w:sz w:val="21"/>
                <w:szCs w:val="21"/>
                <w:highlight w:val="none"/>
                <w:lang w:eastAsia="zh-CN"/>
              </w:rPr>
              <w:t>近</w:t>
            </w:r>
            <w:r>
              <w:rPr>
                <w:rFonts w:hint="eastAsia" w:eastAsia="宋体"/>
                <w:color w:val="auto"/>
                <w:sz w:val="21"/>
                <w:szCs w:val="21"/>
                <w:highlight w:val="none"/>
                <w:lang w:val="en-US" w:eastAsia="zh-CN"/>
              </w:rPr>
              <w:t>3</w:t>
            </w:r>
            <w:r>
              <w:rPr>
                <w:rFonts w:hint="eastAsia" w:eastAsia="宋体"/>
                <w:color w:val="auto"/>
                <w:sz w:val="21"/>
                <w:szCs w:val="21"/>
                <w:highlight w:val="none"/>
                <w:lang w:eastAsia="zh-CN"/>
              </w:rPr>
              <w:t>年（20</w:t>
            </w:r>
            <w:r>
              <w:rPr>
                <w:rFonts w:hint="eastAsia" w:eastAsia="宋体"/>
                <w:color w:val="auto"/>
                <w:sz w:val="21"/>
                <w:szCs w:val="21"/>
                <w:highlight w:val="none"/>
                <w:lang w:val="en-US" w:eastAsia="zh-CN"/>
              </w:rPr>
              <w:t>23</w:t>
            </w:r>
            <w:r>
              <w:rPr>
                <w:rFonts w:hint="eastAsia" w:eastAsia="宋体"/>
                <w:color w:val="auto"/>
                <w:sz w:val="21"/>
                <w:szCs w:val="21"/>
                <w:highlight w:val="none"/>
                <w:lang w:eastAsia="zh-CN"/>
              </w:rPr>
              <w:t>年</w:t>
            </w:r>
            <w:r>
              <w:rPr>
                <w:rFonts w:hint="eastAsia"/>
                <w:color w:val="auto"/>
                <w:sz w:val="21"/>
                <w:szCs w:val="21"/>
                <w:highlight w:val="none"/>
                <w:lang w:val="en-US" w:eastAsia="zh-CN"/>
              </w:rPr>
              <w:t>4月</w:t>
            </w:r>
            <w:r>
              <w:rPr>
                <w:rFonts w:hint="eastAsia" w:eastAsia="宋体"/>
                <w:color w:val="auto"/>
                <w:sz w:val="21"/>
                <w:szCs w:val="21"/>
                <w:highlight w:val="none"/>
                <w:lang w:eastAsia="zh-CN"/>
              </w:rPr>
              <w:t>1日至投标截止时间，以合同签订时间为准），</w:t>
            </w:r>
            <w:r>
              <w:rPr>
                <w:rFonts w:hint="eastAsia"/>
                <w:color w:val="auto"/>
                <w:sz w:val="21"/>
                <w:szCs w:val="21"/>
                <w:highlight w:val="none"/>
                <w:lang w:val="en-US" w:eastAsia="zh-CN"/>
              </w:rPr>
              <w:t>每增加</w:t>
            </w:r>
            <w:r>
              <w:rPr>
                <w:rFonts w:hint="eastAsia" w:eastAsia="宋体"/>
                <w:color w:val="auto"/>
                <w:sz w:val="21"/>
                <w:szCs w:val="21"/>
                <w:highlight w:val="none"/>
                <w:lang w:eastAsia="zh-CN"/>
              </w:rPr>
              <w:t>1项</w:t>
            </w:r>
            <w:r>
              <w:rPr>
                <w:rFonts w:hint="eastAsia" w:ascii="宋体" w:hAnsi="宋体"/>
                <w:color w:val="auto"/>
                <w:kern w:val="0"/>
                <w:sz w:val="21"/>
                <w:szCs w:val="21"/>
                <w:highlight w:val="none"/>
                <w:lang w:val="en-US" w:eastAsia="zh-CN"/>
              </w:rPr>
              <w:t>合同金额不少于70万元的</w:t>
            </w:r>
            <w:r>
              <w:rPr>
                <w:rFonts w:hint="eastAsia" w:ascii="宋体" w:hAnsi="宋体"/>
                <w:kern w:val="0"/>
                <w:sz w:val="21"/>
                <w:szCs w:val="21"/>
                <w:highlight w:val="none"/>
                <w:lang w:eastAsia="zh-CN"/>
              </w:rPr>
              <w:t>软件</w:t>
            </w:r>
            <w:r>
              <w:rPr>
                <w:rFonts w:hint="eastAsia" w:ascii="宋体" w:hAnsi="宋体"/>
                <w:kern w:val="0"/>
                <w:sz w:val="21"/>
                <w:szCs w:val="21"/>
                <w:highlight w:val="none"/>
                <w:lang w:val="en-US" w:eastAsia="zh-CN"/>
              </w:rPr>
              <w:t>测评服务</w:t>
            </w:r>
            <w:r>
              <w:rPr>
                <w:rFonts w:hint="eastAsia" w:eastAsia="宋体"/>
                <w:color w:val="auto"/>
                <w:sz w:val="21"/>
                <w:szCs w:val="21"/>
                <w:highlight w:val="none"/>
                <w:lang w:eastAsia="zh-CN"/>
              </w:rPr>
              <w:t>的项目负责人</w:t>
            </w:r>
            <w:r>
              <w:rPr>
                <w:rFonts w:hint="eastAsia"/>
                <w:sz w:val="21"/>
                <w:szCs w:val="21"/>
                <w:highlight w:val="none"/>
                <w:lang w:eastAsia="zh-CN"/>
              </w:rPr>
              <w:t>（或项目经理或技术负责人）</w:t>
            </w:r>
            <w:r>
              <w:rPr>
                <w:rFonts w:hint="eastAsia" w:ascii="宋体" w:hAnsi="宋体" w:eastAsia="宋体" w:cs="宋体"/>
                <w:sz w:val="21"/>
                <w:szCs w:val="21"/>
                <w:highlight w:val="none"/>
              </w:rPr>
              <w:t>业绩加</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分，最多加</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分。</w:t>
            </w:r>
          </w:p>
        </w:tc>
      </w:tr>
      <w:tr w14:paraId="0022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vAlign w:val="center"/>
          </w:tcPr>
          <w:p w14:paraId="00227994">
            <w:pPr>
              <w:pStyle w:val="5"/>
              <w:snapToGrid w:val="0"/>
              <w:spacing w:line="320" w:lineRule="exact"/>
              <w:jc w:val="center"/>
              <w:rPr>
                <w:rFonts w:hint="eastAsia" w:hAnsi="宋体"/>
                <w:sz w:val="21"/>
                <w:szCs w:val="21"/>
                <w:highlight w:val="none"/>
              </w:rPr>
            </w:pPr>
            <w:r>
              <w:rPr>
                <w:rFonts w:hint="eastAsia" w:hAnsi="宋体"/>
                <w:sz w:val="21"/>
                <w:szCs w:val="21"/>
                <w:highlight w:val="none"/>
              </w:rPr>
              <w:t>2.2.4（3）</w:t>
            </w:r>
          </w:p>
        </w:tc>
        <w:tc>
          <w:tcPr>
            <w:tcW w:w="979" w:type="dxa"/>
            <w:tcBorders>
              <w:top w:val="nil"/>
            </w:tcBorders>
            <w:vAlign w:val="center"/>
          </w:tcPr>
          <w:p w14:paraId="00227995">
            <w:pPr>
              <w:pStyle w:val="5"/>
              <w:snapToGrid w:val="0"/>
              <w:spacing w:line="320" w:lineRule="exact"/>
              <w:jc w:val="center"/>
              <w:rPr>
                <w:rFonts w:hint="eastAsia" w:hAnsi="宋体"/>
                <w:sz w:val="21"/>
                <w:szCs w:val="21"/>
                <w:highlight w:val="none"/>
              </w:rPr>
            </w:pPr>
            <w:r>
              <w:rPr>
                <w:rFonts w:hint="eastAsia" w:hAnsi="宋体"/>
                <w:sz w:val="21"/>
                <w:szCs w:val="21"/>
                <w:highlight w:val="none"/>
              </w:rPr>
              <w:t>评标价</w:t>
            </w:r>
          </w:p>
        </w:tc>
        <w:tc>
          <w:tcPr>
            <w:tcW w:w="675" w:type="dxa"/>
            <w:tcBorders>
              <w:top w:val="nil"/>
              <w:bottom w:val="single" w:color="auto" w:sz="4" w:space="0"/>
            </w:tcBorders>
            <w:vAlign w:val="center"/>
          </w:tcPr>
          <w:p w14:paraId="00227996">
            <w:pPr>
              <w:pStyle w:val="5"/>
              <w:snapToGrid w:val="0"/>
              <w:spacing w:line="320" w:lineRule="exact"/>
              <w:jc w:val="center"/>
              <w:rPr>
                <w:rFonts w:hint="eastAsia" w:hAnsi="宋体"/>
                <w:sz w:val="21"/>
                <w:szCs w:val="21"/>
                <w:highlight w:val="none"/>
              </w:rPr>
            </w:pPr>
            <w:r>
              <w:rPr>
                <w:rFonts w:hint="eastAsia" w:hAnsi="宋体"/>
                <w:sz w:val="21"/>
                <w:szCs w:val="21"/>
                <w:highlight w:val="none"/>
              </w:rPr>
              <w:t>30分</w:t>
            </w:r>
          </w:p>
        </w:tc>
        <w:tc>
          <w:tcPr>
            <w:tcW w:w="7257" w:type="dxa"/>
            <w:gridSpan w:val="3"/>
            <w:tcBorders>
              <w:bottom w:val="single" w:color="auto" w:sz="4" w:space="0"/>
            </w:tcBorders>
            <w:vAlign w:val="center"/>
          </w:tcPr>
          <w:p w14:paraId="00227997">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评标价得分计算公式：</w:t>
            </w:r>
          </w:p>
          <w:p w14:paraId="00227998">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（1）如果投标人的评标价＞评标基准价，则评标价得分=F-（投标人评标价-评标基准价）/评标基准价×100×E1；</w:t>
            </w:r>
          </w:p>
          <w:p w14:paraId="00227999">
            <w:pPr>
              <w:snapToGrid w:val="0"/>
              <w:spacing w:line="320" w:lineRule="exact"/>
              <w:rPr>
                <w:rFonts w:hint="eastAsia" w:ascii="宋体" w:hAnsi="宋体"/>
                <w:kern w:val="2"/>
                <w:sz w:val="21"/>
                <w:szCs w:val="21"/>
                <w:highlight w:val="none"/>
                <w:lang w:eastAsia="zh-CN"/>
              </w:rPr>
            </w:pPr>
            <w:r>
              <w:rPr>
                <w:rFonts w:hint="eastAsia" w:ascii="宋体" w:hAnsi="宋体"/>
                <w:kern w:val="2"/>
                <w:sz w:val="21"/>
                <w:szCs w:val="21"/>
                <w:highlight w:val="none"/>
                <w:lang w:eastAsia="zh-CN"/>
              </w:rPr>
              <w:t>（2）如果投标人的评标价≤评标基准价，则评标价得分=F+（投标人评标价-评标基准价）/评标基准价×100×E2。</w:t>
            </w:r>
          </w:p>
          <w:p w14:paraId="0022799A">
            <w:pPr>
              <w:snapToGrid w:val="0"/>
              <w:spacing w:line="320" w:lineRule="exact"/>
              <w:rPr>
                <w:rFonts w:hint="eastAsia" w:ascii="宋体" w:hAnsi="宋体"/>
                <w:kern w:val="2"/>
                <w:sz w:val="21"/>
                <w:szCs w:val="21"/>
                <w:highlight w:val="none"/>
              </w:rPr>
            </w:pPr>
            <w:r>
              <w:rPr>
                <w:rFonts w:hint="eastAsia" w:ascii="宋体" w:hAnsi="宋体"/>
                <w:kern w:val="2"/>
                <w:sz w:val="21"/>
                <w:szCs w:val="21"/>
                <w:highlight w:val="none"/>
                <w:lang w:eastAsia="zh-CN"/>
              </w:rPr>
              <w:t>其中，F=30；E1=0.4；E2=0.2；评标价最低得分为0分。</w:t>
            </w:r>
            <w:r>
              <w:rPr>
                <w:rFonts w:hint="eastAsia" w:ascii="宋体" w:hAnsi="宋体"/>
                <w:kern w:val="2"/>
                <w:sz w:val="21"/>
                <w:szCs w:val="21"/>
                <w:highlight w:val="none"/>
              </w:rPr>
              <w:t>得分保留两位小数。</w:t>
            </w:r>
          </w:p>
        </w:tc>
      </w:tr>
      <w:tr w14:paraId="0022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6" w:hRule="atLeast"/>
          <w:jc w:val="center"/>
        </w:trPr>
        <w:tc>
          <w:tcPr>
            <w:tcW w:w="741" w:type="dxa"/>
            <w:vAlign w:val="center"/>
          </w:tcPr>
          <w:p w14:paraId="0022799C">
            <w:pPr>
              <w:pStyle w:val="5"/>
              <w:snapToGrid w:val="0"/>
              <w:spacing w:line="320" w:lineRule="exact"/>
              <w:jc w:val="center"/>
              <w:rPr>
                <w:rFonts w:hint="eastAsia" w:hAnsi="宋体"/>
                <w:sz w:val="21"/>
                <w:szCs w:val="21"/>
                <w:highlight w:val="none"/>
              </w:rPr>
            </w:pPr>
            <w:r>
              <w:rPr>
                <w:rFonts w:hint="eastAsia" w:hAnsi="宋体"/>
                <w:sz w:val="21"/>
                <w:szCs w:val="21"/>
                <w:highlight w:val="none"/>
              </w:rPr>
              <w:t>2.2.4（4）</w:t>
            </w:r>
          </w:p>
        </w:tc>
        <w:tc>
          <w:tcPr>
            <w:tcW w:w="979" w:type="dxa"/>
            <w:vAlign w:val="center"/>
          </w:tcPr>
          <w:p w14:paraId="0022799D">
            <w:pPr>
              <w:pStyle w:val="5"/>
              <w:snapToGrid w:val="0"/>
              <w:spacing w:line="320" w:lineRule="exact"/>
              <w:jc w:val="center"/>
              <w:rPr>
                <w:rFonts w:hint="eastAsia" w:hAnsi="宋体"/>
                <w:sz w:val="21"/>
                <w:szCs w:val="21"/>
                <w:highlight w:val="none"/>
              </w:rPr>
            </w:pPr>
            <w:r>
              <w:rPr>
                <w:rFonts w:hint="eastAsia" w:hAnsi="宋体"/>
                <w:sz w:val="21"/>
                <w:szCs w:val="21"/>
                <w:highlight w:val="none"/>
              </w:rPr>
              <w:t>其他因素</w:t>
            </w:r>
          </w:p>
        </w:tc>
        <w:tc>
          <w:tcPr>
            <w:tcW w:w="675" w:type="dxa"/>
            <w:tcBorders>
              <w:top w:val="single" w:color="auto" w:sz="4" w:space="0"/>
            </w:tcBorders>
            <w:vAlign w:val="center"/>
          </w:tcPr>
          <w:p w14:paraId="0022799E">
            <w:pPr>
              <w:pStyle w:val="5"/>
              <w:snapToGrid w:val="0"/>
              <w:spacing w:line="320" w:lineRule="exact"/>
              <w:jc w:val="center"/>
              <w:rPr>
                <w:rFonts w:hint="eastAsia" w:hAnsi="宋体"/>
                <w:sz w:val="21"/>
                <w:szCs w:val="21"/>
                <w:highlight w:val="none"/>
              </w:rPr>
            </w:pPr>
            <w:r>
              <w:rPr>
                <w:rFonts w:hint="eastAsia" w:hAnsi="宋体"/>
                <w:sz w:val="21"/>
                <w:szCs w:val="21"/>
                <w:highlight w:val="none"/>
              </w:rPr>
              <w:t>20分</w:t>
            </w:r>
          </w:p>
        </w:tc>
        <w:tc>
          <w:tcPr>
            <w:tcW w:w="1463" w:type="dxa"/>
            <w:tcBorders>
              <w:top w:val="single" w:color="auto" w:sz="4" w:space="0"/>
            </w:tcBorders>
            <w:vAlign w:val="center"/>
          </w:tcPr>
          <w:p w14:paraId="0022799F">
            <w:pPr>
              <w:pStyle w:val="5"/>
              <w:snapToGrid w:val="0"/>
              <w:spacing w:line="320" w:lineRule="exact"/>
              <w:jc w:val="center"/>
              <w:rPr>
                <w:rFonts w:hint="eastAsia" w:hAnsi="宋体"/>
                <w:sz w:val="21"/>
                <w:szCs w:val="21"/>
                <w:highlight w:val="none"/>
              </w:rPr>
            </w:pPr>
            <w:r>
              <w:rPr>
                <w:rFonts w:hint="eastAsia" w:hAnsi="宋体"/>
                <w:sz w:val="21"/>
                <w:szCs w:val="21"/>
                <w:highlight w:val="none"/>
              </w:rPr>
              <w:t>业绩</w:t>
            </w:r>
          </w:p>
        </w:tc>
        <w:tc>
          <w:tcPr>
            <w:tcW w:w="712" w:type="dxa"/>
            <w:tcBorders>
              <w:top w:val="single" w:color="auto" w:sz="4" w:space="0"/>
            </w:tcBorders>
            <w:vAlign w:val="center"/>
          </w:tcPr>
          <w:p w14:paraId="002279A0">
            <w:pPr>
              <w:pStyle w:val="5"/>
              <w:snapToGrid w:val="0"/>
              <w:spacing w:line="320" w:lineRule="exact"/>
              <w:jc w:val="center"/>
              <w:rPr>
                <w:rFonts w:hint="eastAsia" w:hAnsi="宋体"/>
                <w:sz w:val="21"/>
                <w:szCs w:val="21"/>
                <w:highlight w:val="none"/>
              </w:rPr>
            </w:pPr>
            <w:r>
              <w:rPr>
                <w:rFonts w:hint="eastAsia" w:hAnsi="宋体"/>
                <w:sz w:val="21"/>
                <w:szCs w:val="21"/>
                <w:highlight w:val="none"/>
                <w:lang w:val="en-US" w:eastAsia="zh-CN"/>
              </w:rPr>
              <w:t>20</w:t>
            </w:r>
            <w:r>
              <w:rPr>
                <w:rFonts w:hint="eastAsia" w:hAnsi="宋体"/>
                <w:sz w:val="21"/>
                <w:szCs w:val="21"/>
                <w:highlight w:val="none"/>
              </w:rPr>
              <w:t>分</w:t>
            </w:r>
          </w:p>
        </w:tc>
        <w:tc>
          <w:tcPr>
            <w:tcW w:w="5082" w:type="dxa"/>
            <w:tcBorders>
              <w:top w:val="single" w:color="auto" w:sz="4" w:space="0"/>
            </w:tcBorders>
            <w:vAlign w:val="center"/>
          </w:tcPr>
          <w:p w14:paraId="002279A1">
            <w:pPr>
              <w:snapToGrid w:val="0"/>
              <w:spacing w:line="320" w:lineRule="exact"/>
              <w:rPr>
                <w:rFonts w:hint="eastAsia" w:ascii="宋体" w:hAnsi="宋体"/>
                <w:kern w:val="2"/>
                <w:sz w:val="21"/>
                <w:szCs w:val="21"/>
                <w:highlight w:val="none"/>
                <w:lang w:eastAsia="zh-CN"/>
              </w:rPr>
            </w:pPr>
            <w:bookmarkStart w:id="4" w:name="OLE_LINK2"/>
            <w:r>
              <w:rPr>
                <w:rFonts w:hint="eastAsia" w:ascii="宋体" w:hAnsi="宋体"/>
                <w:kern w:val="2"/>
                <w:sz w:val="21"/>
                <w:szCs w:val="21"/>
                <w:highlight w:val="none"/>
                <w:lang w:eastAsia="zh-CN"/>
              </w:rPr>
              <w:t>满足“资格审查条件（业绩最低要求）”得</w:t>
            </w:r>
            <w:r>
              <w:rPr>
                <w:rFonts w:hint="eastAsia" w:ascii="宋体" w:hAnsi="宋体"/>
                <w:kern w:val="2"/>
                <w:sz w:val="21"/>
                <w:szCs w:val="21"/>
                <w:highlight w:val="none"/>
                <w:lang w:val="en-US" w:eastAsia="zh-CN"/>
              </w:rPr>
              <w:t>12</w:t>
            </w:r>
            <w:r>
              <w:rPr>
                <w:rFonts w:hint="eastAsia" w:ascii="宋体" w:hAnsi="宋体"/>
                <w:kern w:val="2"/>
                <w:sz w:val="21"/>
                <w:szCs w:val="21"/>
                <w:highlight w:val="none"/>
                <w:lang w:eastAsia="zh-CN"/>
              </w:rPr>
              <w:t>分；</w:t>
            </w:r>
          </w:p>
          <w:p w14:paraId="002279A2">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近3年（2023年4月1日至投标截止时间，以合同签订时间为准），</w:t>
            </w:r>
            <w:r>
              <w:rPr>
                <w:rFonts w:hint="eastAsia" w:ascii="宋体" w:hAnsi="宋体"/>
                <w:sz w:val="21"/>
                <w:szCs w:val="21"/>
                <w:highlight w:val="none"/>
                <w:lang w:val="en-US" w:eastAsia="zh-CN"/>
              </w:rPr>
              <w:t>每增加</w:t>
            </w:r>
            <w:r>
              <w:rPr>
                <w:rFonts w:hint="eastAsia" w:ascii="宋体" w:hAnsi="宋体"/>
                <w:sz w:val="21"/>
                <w:szCs w:val="21"/>
                <w:highlight w:val="none"/>
                <w:lang w:eastAsia="zh-CN"/>
              </w:rPr>
              <w:t>1项</w:t>
            </w:r>
            <w:r>
              <w:rPr>
                <w:rFonts w:hint="eastAsia" w:ascii="宋体" w:hAnsi="宋体"/>
                <w:color w:val="auto"/>
                <w:kern w:val="0"/>
                <w:sz w:val="21"/>
                <w:szCs w:val="21"/>
                <w:highlight w:val="none"/>
                <w:lang w:val="en-US" w:eastAsia="zh-CN"/>
              </w:rPr>
              <w:t>合同金额不少于70万元的</w:t>
            </w:r>
            <w:r>
              <w:rPr>
                <w:rFonts w:hint="eastAsia" w:ascii="宋体" w:hAnsi="宋体"/>
                <w:sz w:val="21"/>
                <w:szCs w:val="21"/>
                <w:highlight w:val="none"/>
                <w:lang w:eastAsia="zh-CN"/>
              </w:rPr>
              <w:t>软件测评服务</w:t>
            </w:r>
            <w:r>
              <w:rPr>
                <w:rFonts w:hint="eastAsia" w:ascii="宋体" w:hAnsi="宋体"/>
                <w:sz w:val="21"/>
                <w:szCs w:val="21"/>
                <w:highlight w:val="none"/>
                <w:lang w:val="en-US" w:eastAsia="zh-CN"/>
              </w:rPr>
              <w:t>项目业绩</w:t>
            </w:r>
            <w:r>
              <w:rPr>
                <w:rFonts w:hint="eastAsia" w:ascii="宋体" w:hAnsi="宋体"/>
                <w:kern w:val="2"/>
                <w:sz w:val="21"/>
                <w:szCs w:val="21"/>
                <w:highlight w:val="none"/>
                <w:lang w:eastAsia="zh-CN"/>
              </w:rPr>
              <w:t>加</w:t>
            </w:r>
            <w:r>
              <w:rPr>
                <w:rFonts w:hint="eastAsia" w:ascii="宋体" w:hAnsi="宋体"/>
                <w:kern w:val="2"/>
                <w:sz w:val="21"/>
                <w:szCs w:val="21"/>
                <w:highlight w:val="none"/>
                <w:lang w:val="en-US" w:eastAsia="zh-CN"/>
              </w:rPr>
              <w:t>4</w:t>
            </w:r>
            <w:r>
              <w:rPr>
                <w:rFonts w:hint="eastAsia" w:ascii="宋体" w:hAnsi="宋体"/>
                <w:kern w:val="2"/>
                <w:sz w:val="21"/>
                <w:szCs w:val="21"/>
                <w:highlight w:val="none"/>
                <w:lang w:eastAsia="zh-CN"/>
              </w:rPr>
              <w:t>分，最多加</w:t>
            </w:r>
            <w:r>
              <w:rPr>
                <w:rFonts w:hint="eastAsia" w:ascii="宋体" w:hAnsi="宋体"/>
                <w:kern w:val="2"/>
                <w:sz w:val="21"/>
                <w:szCs w:val="21"/>
                <w:highlight w:val="none"/>
                <w:lang w:val="en-US" w:eastAsia="zh-CN"/>
              </w:rPr>
              <w:t>8</w:t>
            </w:r>
            <w:r>
              <w:rPr>
                <w:rFonts w:hint="eastAsia" w:ascii="宋体" w:hAnsi="宋体"/>
                <w:kern w:val="2"/>
                <w:sz w:val="21"/>
                <w:szCs w:val="21"/>
                <w:highlight w:val="none"/>
                <w:lang w:eastAsia="zh-CN"/>
              </w:rPr>
              <w:t>分。</w:t>
            </w:r>
            <w:bookmarkEnd w:id="4"/>
          </w:p>
        </w:tc>
      </w:tr>
    </w:tbl>
    <w:p w14:paraId="002279A4">
      <w:pPr>
        <w:rPr>
          <w:rFonts w:hint="eastAsia" w:ascii="宋体" w:hAnsi="宋体"/>
          <w:sz w:val="21"/>
          <w:szCs w:val="21"/>
          <w:highlight w:val="none"/>
          <w:lang w:val="zh-CN" w:eastAsia="zh-CN"/>
        </w:rPr>
      </w:pPr>
      <w:r>
        <w:rPr>
          <w:rFonts w:hint="eastAsia" w:ascii="宋体" w:hAnsi="宋体"/>
          <w:sz w:val="21"/>
          <w:szCs w:val="21"/>
          <w:highlight w:val="none"/>
          <w:lang w:val="zh-CN" w:eastAsia="zh-CN"/>
        </w:rPr>
        <w:t>注：1、第2.2.4（1）项各评委打分保留1位小数，投标人该项得分以各评委打分平均值计算所得，保留两位小数，第三位小数四舍五入。</w:t>
      </w:r>
    </w:p>
    <w:p w14:paraId="2833916C">
      <w:r>
        <w:rPr>
          <w:rFonts w:hint="eastAsia" w:ascii="宋体" w:hAnsi="宋体"/>
          <w:sz w:val="21"/>
          <w:szCs w:val="21"/>
          <w:highlight w:val="none"/>
          <w:lang w:eastAsia="zh-CN"/>
        </w:rPr>
        <w:t>2、</w:t>
      </w:r>
      <w:r>
        <w:rPr>
          <w:rFonts w:hint="eastAsia" w:ascii="宋体" w:hAnsi="宋体"/>
          <w:sz w:val="21"/>
          <w:szCs w:val="21"/>
          <w:highlight w:val="none"/>
          <w:lang w:val="zh-CN" w:eastAsia="zh-CN"/>
        </w:rPr>
        <w:t>第2.2.4（1）项评</w:t>
      </w:r>
      <w:r>
        <w:rPr>
          <w:rFonts w:hint="eastAsia" w:ascii="宋体" w:hAnsi="宋体"/>
          <w:sz w:val="21"/>
          <w:szCs w:val="21"/>
          <w:highlight w:val="none"/>
          <w:lang w:eastAsia="zh-CN"/>
        </w:rPr>
        <w:t>分</w:t>
      </w:r>
      <w:r>
        <w:rPr>
          <w:rFonts w:hint="eastAsia" w:ascii="宋体" w:hAnsi="宋体"/>
          <w:sz w:val="21"/>
          <w:szCs w:val="21"/>
          <w:highlight w:val="none"/>
          <w:lang w:val="zh-CN" w:eastAsia="zh-CN"/>
        </w:rPr>
        <w:t>因素</w:t>
      </w:r>
      <w:r>
        <w:rPr>
          <w:rFonts w:hint="eastAsia" w:ascii="宋体" w:hAnsi="宋体"/>
          <w:sz w:val="21"/>
          <w:szCs w:val="21"/>
          <w:highlight w:val="none"/>
          <w:lang w:eastAsia="zh-CN"/>
        </w:rPr>
        <w:t>细分项</w:t>
      </w:r>
      <w:r>
        <w:rPr>
          <w:rFonts w:hint="eastAsia" w:ascii="宋体" w:hAnsi="宋体"/>
          <w:sz w:val="21"/>
          <w:szCs w:val="21"/>
          <w:highlight w:val="none"/>
          <w:lang w:val="zh-CN" w:eastAsia="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81EB">
    <w:pPr>
      <w:pStyle w:val="4"/>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2281FC">
                          <w:pPr>
                            <w:pStyle w:val="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CfP38UBAACQ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k5FqgH97iFg495NQR6ipGA4qM5qWKm3C83vOevqRN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wnz9/FAQAAkAMAAA4AAAAAAAAAAQAgAAAAHgEAAGRycy9lMm9Eb2MueG1s&#10;UEsFBgAAAAAGAAYAWQEAAFUFAAAAAA==&#10;">
              <v:fill on="f" focussize="0,0"/>
              <v:stroke on="f"/>
              <v:imagedata o:title=""/>
              <o:lock v:ext="edit" aspectratio="f"/>
              <v:textbox inset="0mm,0mm,0mm,0mm" style="mso-fit-shape-to-text:t;">
                <w:txbxContent>
                  <w:p w14:paraId="002281FC">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281EC">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C56D71"/>
    <w:rsid w:val="2F8266AE"/>
    <w:rsid w:val="45111875"/>
    <w:rsid w:val="4FF65ED8"/>
    <w:rsid w:val="5C982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sz w:val="20"/>
      <w:szCs w:val="20"/>
    </w:rPr>
  </w:style>
  <w:style w:type="paragraph" w:styleId="6">
    <w:name w:val="footer"/>
    <w:basedOn w:val="1"/>
    <w:unhideWhenUsed/>
    <w:qFormat/>
    <w:uiPriority w:val="99"/>
    <w:pPr>
      <w:tabs>
        <w:tab w:val="center" w:pos="4153"/>
        <w:tab w:val="right" w:pos="8306"/>
      </w:tabs>
      <w:snapToGrid w:val="0"/>
    </w:pPr>
  </w:style>
  <w:style w:type="paragraph" w:styleId="7">
    <w:name w:val="Normal (Web)"/>
    <w:basedOn w:val="1"/>
    <w:qFormat/>
    <w:uiPriority w:val="0"/>
    <w:pPr>
      <w:widowControl/>
      <w:spacing w:before="100" w:beforeAutospacing="1" w:after="100" w:afterAutospacing="1" w:line="432" w:lineRule="auto"/>
      <w:ind w:firstLine="480"/>
    </w:pPr>
    <w:rPr>
      <w:rFonts w:ascii="宋体" w:hAnsi="宋体"/>
      <w:sz w:val="24"/>
      <w:szCs w:val="24"/>
    </w:rPr>
  </w:style>
  <w:style w:type="character" w:styleId="10">
    <w:name w:val="Hyperlink"/>
    <w:qFormat/>
    <w:uiPriority w:val="99"/>
    <w:rPr>
      <w:color w:val="0000FF"/>
      <w:u w:val="single"/>
    </w:rPr>
  </w:style>
  <w:style w:type="paragraph" w:customStyle="1" w:styleId="11">
    <w:name w:val="方案正文"/>
    <w:basedOn w:val="1"/>
    <w:qFormat/>
    <w:uiPriority w:val="0"/>
    <w:pPr>
      <w:spacing w:line="560" w:lineRule="exact"/>
      <w:ind w:firstLine="200" w:firstLineChars="200"/>
    </w:pPr>
    <w:rPr>
      <w:rFonts w:eastAsia="仿宋_GB2312" w:cs="黑体"/>
      <w:sz w:val="32"/>
    </w:rPr>
  </w:style>
  <w:style w:type="character" w:customStyle="1" w:styleId="1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3">
    <w:name w:val="正文首行缩进 21"/>
    <w:basedOn w:val="14"/>
    <w:qFormat/>
    <w:uiPriority w:val="0"/>
    <w:pPr>
      <w:ind w:firstLine="420"/>
    </w:pPr>
  </w:style>
  <w:style w:type="paragraph" w:customStyle="1" w:styleId="14">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6111</Words>
  <Characters>6655</Characters>
  <Lines>0</Lines>
  <Paragraphs>0</Paragraphs>
  <TotalTime>0</TotalTime>
  <ScaleCrop>false</ScaleCrop>
  <LinksUpToDate>false</LinksUpToDate>
  <CharactersWithSpaces>6684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2026-04-02T08:39:51Z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