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0F8CDB">
      <w:pPr>
        <w:rPr>
          <w:rFonts w:hint="eastAsia" w:ascii="宋体" w:hAnsi="宋体" w:cs="宋体"/>
          <w:b/>
          <w:color w:val="auto"/>
          <w:sz w:val="28"/>
          <w:szCs w:val="28"/>
          <w:highlight w:val="none"/>
        </w:rPr>
      </w:pPr>
      <w:r>
        <w:rPr>
          <w:rFonts w:hint="eastAsia" w:ascii="宋体" w:hAnsi="宋体" w:cs="宋体"/>
          <w:b/>
          <w:color w:val="auto"/>
          <w:sz w:val="28"/>
          <w:szCs w:val="28"/>
          <w:highlight w:val="none"/>
        </w:rPr>
        <w:t>附件1：资格审查条件</w:t>
      </w:r>
    </w:p>
    <w:p w14:paraId="68F5EC4B">
      <w:pPr>
        <w:pStyle w:val="15"/>
        <w:rPr>
          <w:rFonts w:hint="eastAsia"/>
          <w:color w:val="auto"/>
          <w:highlight w:val="none"/>
        </w:rPr>
      </w:pPr>
    </w:p>
    <w:p w14:paraId="7637D22B">
      <w:pPr>
        <w:adjustRightInd w:val="0"/>
        <w:snapToGrid w:val="0"/>
        <w:spacing w:line="360" w:lineRule="auto"/>
        <w:jc w:val="center"/>
        <w:rPr>
          <w:rFonts w:ascii="宋体" w:hAnsi="宋体"/>
          <w:b/>
          <w:bCs/>
          <w:snapToGrid w:val="0"/>
          <w:color w:val="auto"/>
          <w:kern w:val="0"/>
          <w:sz w:val="24"/>
          <w:szCs w:val="24"/>
          <w:highlight w:val="none"/>
        </w:rPr>
      </w:pPr>
    </w:p>
    <w:p w14:paraId="16ABC8FC">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2"/>
        <w:tblW w:w="506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638"/>
      </w:tblGrid>
      <w:tr w14:paraId="566D1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9530" w:type="dxa"/>
            <w:tcBorders>
              <w:top w:val="single" w:color="000000" w:sz="2" w:space="0"/>
              <w:left w:val="single" w:color="auto" w:sz="4" w:space="0"/>
              <w:bottom w:val="single" w:color="000000" w:sz="4" w:space="0"/>
              <w:right w:val="single" w:color="000000" w:sz="2" w:space="0"/>
            </w:tcBorders>
            <w:noWrap w:val="0"/>
            <w:vAlign w:val="center"/>
          </w:tcPr>
          <w:p w14:paraId="317523C7">
            <w:pPr>
              <w:adjustRightInd w:val="0"/>
              <w:snapToGrid w:val="0"/>
              <w:spacing w:line="240" w:lineRule="auto"/>
              <w:jc w:val="center"/>
              <w:textAlignment w:val="baseline"/>
              <w:rPr>
                <w:rStyle w:val="16"/>
                <w:rFonts w:ascii="宋体" w:hAnsi="宋体"/>
                <w:b w:val="0"/>
                <w:bCs w:val="0"/>
                <w:snapToGrid w:val="0"/>
                <w:color w:val="auto"/>
                <w:kern w:val="0"/>
                <w:sz w:val="24"/>
                <w:szCs w:val="24"/>
                <w:highlight w:val="none"/>
              </w:rPr>
            </w:pPr>
            <w:r>
              <w:rPr>
                <w:rStyle w:val="16"/>
                <w:rFonts w:ascii="宋体" w:hAnsi="宋体"/>
                <w:b w:val="0"/>
                <w:bCs w:val="0"/>
                <w:snapToGrid w:val="0"/>
                <w:color w:val="auto"/>
                <w:kern w:val="0"/>
                <w:sz w:val="24"/>
                <w:szCs w:val="24"/>
                <w:highlight w:val="none"/>
              </w:rPr>
              <w:t>资质要求</w:t>
            </w:r>
          </w:p>
        </w:tc>
      </w:tr>
      <w:tr w14:paraId="62068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9530" w:type="dxa"/>
            <w:tcBorders>
              <w:top w:val="single" w:color="000000" w:sz="2" w:space="0"/>
              <w:left w:val="single" w:color="auto" w:sz="4" w:space="0"/>
              <w:bottom w:val="single" w:color="000000" w:sz="2" w:space="0"/>
              <w:right w:val="single" w:color="000000" w:sz="2" w:space="0"/>
            </w:tcBorders>
            <w:noWrap w:val="0"/>
            <w:vAlign w:val="center"/>
          </w:tcPr>
          <w:p w14:paraId="0DEE8614">
            <w:pPr>
              <w:adjustRightInd w:val="0"/>
              <w:snapToGrid w:val="0"/>
              <w:spacing w:line="240" w:lineRule="auto"/>
              <w:jc w:val="both"/>
              <w:rPr>
                <w:rStyle w:val="16"/>
                <w:rFonts w:hint="default" w:hAnsi="宋体"/>
                <w:bCs w:val="0"/>
                <w:snapToGrid w:val="0"/>
                <w:color w:val="0000FF"/>
                <w:sz w:val="24"/>
                <w:szCs w:val="24"/>
                <w:highlight w:val="none"/>
                <w:lang w:val="en-US" w:eastAsia="zh-CN"/>
              </w:rPr>
            </w:pPr>
            <w:r>
              <w:rPr>
                <w:rStyle w:val="16"/>
                <w:rFonts w:hint="eastAsia" w:hAnsi="宋体"/>
                <w:bCs w:val="0"/>
                <w:snapToGrid w:val="0"/>
                <w:color w:val="auto"/>
                <w:sz w:val="24"/>
                <w:szCs w:val="24"/>
                <w:highlight w:val="none"/>
                <w:lang w:val="en-US" w:eastAsia="zh-CN"/>
              </w:rPr>
              <w:t>制造商：投标人应是中华人民共和国境内的法人或其他组织，持有有效的营业执照。</w:t>
            </w:r>
          </w:p>
          <w:p w14:paraId="2D2D01B5">
            <w:pPr>
              <w:adjustRightInd w:val="0"/>
              <w:snapToGrid w:val="0"/>
              <w:spacing w:line="240" w:lineRule="auto"/>
              <w:jc w:val="both"/>
              <w:rPr>
                <w:rStyle w:val="16"/>
                <w:rFonts w:hint="eastAsia" w:hAnsi="宋体"/>
                <w:bCs w:val="0"/>
                <w:snapToGrid w:val="0"/>
                <w:color w:val="auto"/>
                <w:sz w:val="24"/>
                <w:szCs w:val="24"/>
                <w:highlight w:val="none"/>
              </w:rPr>
            </w:pPr>
            <w:r>
              <w:rPr>
                <w:rStyle w:val="16"/>
                <w:rFonts w:hint="eastAsia" w:hAnsi="宋体"/>
                <w:bCs w:val="0"/>
                <w:snapToGrid w:val="0"/>
                <w:color w:val="auto"/>
                <w:sz w:val="24"/>
                <w:szCs w:val="24"/>
                <w:highlight w:val="none"/>
                <w:lang w:val="en-US" w:eastAsia="zh-CN"/>
              </w:rPr>
              <w:t>代理商：投标人应是中华人民共和国境内的法人或其他组织，持有有效的营业执照；具有制造商出具的针对本招标项目所投设备的唯一授权书，且该制造商满足前述关于“制造商”的要求。</w:t>
            </w:r>
          </w:p>
        </w:tc>
      </w:tr>
    </w:tbl>
    <w:p w14:paraId="3752CDDA">
      <w:pPr>
        <w:pStyle w:val="5"/>
        <w:spacing w:line="240" w:lineRule="auto"/>
        <w:ind w:left="0" w:leftChars="0" w:firstLine="0" w:firstLineChars="0"/>
        <w:jc w:val="center"/>
        <w:rPr>
          <w:rFonts w:hint="eastAsia"/>
          <w:color w:val="auto"/>
          <w:sz w:val="24"/>
          <w:szCs w:val="24"/>
          <w:highlight w:val="none"/>
        </w:rPr>
      </w:pPr>
    </w:p>
    <w:p w14:paraId="772434B4">
      <w:pPr>
        <w:spacing w:line="240" w:lineRule="auto"/>
        <w:jc w:val="center"/>
        <w:rPr>
          <w:rFonts w:ascii="宋体" w:hAnsi="宋体"/>
          <w:b/>
          <w:bCs/>
          <w:snapToGrid w:val="0"/>
          <w:color w:val="auto"/>
          <w:kern w:val="0"/>
          <w:sz w:val="24"/>
          <w:szCs w:val="24"/>
          <w:highlight w:val="none"/>
        </w:rPr>
      </w:pPr>
    </w:p>
    <w:p w14:paraId="68044075">
      <w:pPr>
        <w:spacing w:line="240" w:lineRule="auto"/>
        <w:jc w:val="center"/>
        <w:rPr>
          <w:rFonts w:ascii="宋体" w:hAnsi="宋体"/>
          <w:b/>
          <w:bCs/>
          <w:snapToGrid w:val="0"/>
          <w:color w:val="auto"/>
          <w:kern w:val="0"/>
          <w:sz w:val="24"/>
          <w:szCs w:val="24"/>
          <w:highlight w:val="none"/>
        </w:rPr>
      </w:pPr>
    </w:p>
    <w:p w14:paraId="32D03774">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391CC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77158F6D">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业绩要求</w:t>
            </w:r>
          </w:p>
        </w:tc>
      </w:tr>
      <w:tr w14:paraId="6D636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93"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393636A2">
            <w:pPr>
              <w:adjustRightInd w:val="0"/>
              <w:snapToGrid w:val="0"/>
              <w:spacing w:line="240" w:lineRule="auto"/>
              <w:ind w:firstLine="480" w:firstLineChars="200"/>
              <w:jc w:val="left"/>
              <w:rPr>
                <w:rStyle w:val="16"/>
                <w:rFonts w:hint="eastAsia" w:hAnsi="宋体" w:eastAsia="宋体"/>
                <w:bCs w:val="0"/>
                <w:snapToGrid w:val="0"/>
                <w:color w:val="auto"/>
                <w:sz w:val="24"/>
                <w:szCs w:val="24"/>
                <w:highlight w:val="none"/>
                <w:lang w:eastAsia="zh-CN"/>
              </w:rPr>
            </w:pPr>
            <w:r>
              <w:rPr>
                <w:rStyle w:val="16"/>
                <w:rFonts w:hint="eastAsia" w:hAnsi="宋体"/>
                <w:bCs w:val="0"/>
                <w:snapToGrid w:val="0"/>
                <w:color w:val="auto"/>
                <w:sz w:val="24"/>
                <w:szCs w:val="24"/>
                <w:highlight w:val="none"/>
                <w:lang w:val="en-US" w:eastAsia="zh-CN"/>
              </w:rPr>
              <w:t>一标段</w:t>
            </w:r>
            <w:r>
              <w:rPr>
                <w:rStyle w:val="16"/>
                <w:rFonts w:hint="eastAsia" w:hAnsi="宋体"/>
                <w:bCs w:val="0"/>
                <w:snapToGrid w:val="0"/>
                <w:color w:val="auto"/>
                <w:sz w:val="24"/>
                <w:szCs w:val="24"/>
                <w:highlight w:val="none"/>
              </w:rPr>
              <w:t>近</w:t>
            </w:r>
            <w:r>
              <w:rPr>
                <w:rStyle w:val="16"/>
                <w:rFonts w:hint="eastAsia" w:hAnsi="宋体"/>
                <w:bCs w:val="0"/>
                <w:snapToGrid w:val="0"/>
                <w:color w:val="auto"/>
                <w:sz w:val="24"/>
                <w:szCs w:val="24"/>
                <w:highlight w:val="none"/>
                <w:lang w:val="en-US" w:eastAsia="zh-CN"/>
              </w:rPr>
              <w:t>3</w:t>
            </w:r>
            <w:r>
              <w:rPr>
                <w:rStyle w:val="16"/>
                <w:rFonts w:hint="eastAsia" w:hAnsi="宋体"/>
                <w:bCs w:val="0"/>
                <w:snapToGrid w:val="0"/>
                <w:color w:val="auto"/>
                <w:sz w:val="24"/>
                <w:szCs w:val="24"/>
                <w:highlight w:val="none"/>
              </w:rPr>
              <w:t>年内（20</w:t>
            </w:r>
            <w:r>
              <w:rPr>
                <w:rStyle w:val="16"/>
                <w:rFonts w:hint="eastAsia" w:hAnsi="宋体"/>
                <w:bCs w:val="0"/>
                <w:snapToGrid w:val="0"/>
                <w:color w:val="auto"/>
                <w:sz w:val="24"/>
                <w:szCs w:val="24"/>
                <w:highlight w:val="none"/>
                <w:lang w:val="en-US" w:eastAsia="zh-CN"/>
              </w:rPr>
              <w:t>23</w:t>
            </w:r>
            <w:r>
              <w:rPr>
                <w:rStyle w:val="16"/>
                <w:rFonts w:hint="eastAsia" w:hAnsi="宋体"/>
                <w:bCs w:val="0"/>
                <w:snapToGrid w:val="0"/>
                <w:color w:val="auto"/>
                <w:sz w:val="24"/>
                <w:szCs w:val="24"/>
                <w:highlight w:val="none"/>
              </w:rPr>
              <w:t>年</w:t>
            </w:r>
            <w:r>
              <w:rPr>
                <w:rStyle w:val="16"/>
                <w:rFonts w:hint="eastAsia" w:hAnsi="宋体"/>
                <w:bCs w:val="0"/>
                <w:snapToGrid w:val="0"/>
                <w:color w:val="auto"/>
                <w:sz w:val="24"/>
                <w:szCs w:val="24"/>
                <w:highlight w:val="none"/>
                <w:lang w:val="en-US" w:eastAsia="zh-CN"/>
              </w:rPr>
              <w:t>3</w:t>
            </w:r>
            <w:r>
              <w:rPr>
                <w:rStyle w:val="16"/>
                <w:rFonts w:hint="eastAsia" w:hAnsi="宋体"/>
                <w:bCs w:val="0"/>
                <w:snapToGrid w:val="0"/>
                <w:color w:val="auto"/>
                <w:sz w:val="24"/>
                <w:szCs w:val="24"/>
                <w:highlight w:val="none"/>
              </w:rPr>
              <w:t>月1日至今，以合同签订时间为准）</w:t>
            </w:r>
            <w:r>
              <w:rPr>
                <w:rStyle w:val="16"/>
                <w:rFonts w:hint="eastAsia" w:hAnsi="宋体"/>
                <w:bCs w:val="0"/>
                <w:snapToGrid w:val="0"/>
                <w:color w:val="auto"/>
                <w:sz w:val="24"/>
                <w:szCs w:val="24"/>
                <w:highlight w:val="none"/>
                <w:lang w:eastAsia="zh-CN"/>
              </w:rPr>
              <w:t>完成过</w:t>
            </w:r>
            <w:r>
              <w:rPr>
                <w:rStyle w:val="16"/>
                <w:rFonts w:hint="eastAsia" w:hAnsi="宋体"/>
                <w:bCs w:val="0"/>
                <w:snapToGrid w:val="0"/>
                <w:color w:val="auto"/>
                <w:sz w:val="24"/>
                <w:szCs w:val="24"/>
                <w:highlight w:val="none"/>
                <w:lang w:val="en-US" w:eastAsia="zh-CN"/>
              </w:rPr>
              <w:t>1套所投品牌生产线设备的供货业绩</w:t>
            </w:r>
            <w:r>
              <w:rPr>
                <w:rStyle w:val="16"/>
                <w:rFonts w:hint="eastAsia" w:hAnsi="宋体"/>
                <w:bCs w:val="0"/>
                <w:snapToGrid w:val="0"/>
                <w:color w:val="auto"/>
                <w:sz w:val="24"/>
                <w:szCs w:val="24"/>
                <w:highlight w:val="none"/>
              </w:rPr>
              <w:t>。</w:t>
            </w:r>
          </w:p>
        </w:tc>
      </w:tr>
      <w:tr w14:paraId="136F8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44"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79CB8020">
            <w:pPr>
              <w:adjustRightInd w:val="0"/>
              <w:snapToGrid w:val="0"/>
              <w:spacing w:line="240" w:lineRule="auto"/>
              <w:ind w:firstLine="480" w:firstLineChars="200"/>
              <w:jc w:val="left"/>
              <w:rPr>
                <w:rFonts w:hint="eastAsia" w:ascii="宋体" w:hAnsi="宋体"/>
                <w:snapToGrid w:val="0"/>
                <w:color w:val="auto"/>
                <w:kern w:val="0"/>
                <w:sz w:val="24"/>
                <w:szCs w:val="24"/>
                <w:highlight w:val="none"/>
              </w:rPr>
            </w:pPr>
            <w:r>
              <w:rPr>
                <w:rStyle w:val="16"/>
                <w:rFonts w:hint="eastAsia" w:hAnsi="宋体"/>
                <w:bCs w:val="0"/>
                <w:snapToGrid w:val="0"/>
                <w:color w:val="auto"/>
                <w:sz w:val="24"/>
                <w:szCs w:val="24"/>
                <w:highlight w:val="none"/>
                <w:lang w:val="en-US" w:eastAsia="zh-CN"/>
              </w:rPr>
              <w:t>二标段</w:t>
            </w:r>
            <w:r>
              <w:rPr>
                <w:rStyle w:val="16"/>
                <w:rFonts w:hint="eastAsia" w:hAnsi="宋体"/>
                <w:bCs w:val="0"/>
                <w:snapToGrid w:val="0"/>
                <w:color w:val="auto"/>
                <w:sz w:val="24"/>
                <w:szCs w:val="24"/>
                <w:highlight w:val="none"/>
              </w:rPr>
              <w:t>近</w:t>
            </w:r>
            <w:r>
              <w:rPr>
                <w:rStyle w:val="16"/>
                <w:rFonts w:hint="eastAsia" w:hAnsi="宋体"/>
                <w:bCs w:val="0"/>
                <w:snapToGrid w:val="0"/>
                <w:color w:val="auto"/>
                <w:sz w:val="24"/>
                <w:szCs w:val="24"/>
                <w:highlight w:val="none"/>
                <w:lang w:val="en-US" w:eastAsia="zh-CN"/>
              </w:rPr>
              <w:t>3</w:t>
            </w:r>
            <w:r>
              <w:rPr>
                <w:rStyle w:val="16"/>
                <w:rFonts w:hint="eastAsia" w:hAnsi="宋体"/>
                <w:bCs w:val="0"/>
                <w:snapToGrid w:val="0"/>
                <w:color w:val="auto"/>
                <w:sz w:val="24"/>
                <w:szCs w:val="24"/>
                <w:highlight w:val="none"/>
              </w:rPr>
              <w:t>年内（20</w:t>
            </w:r>
            <w:r>
              <w:rPr>
                <w:rStyle w:val="16"/>
                <w:rFonts w:hint="eastAsia" w:hAnsi="宋体"/>
                <w:bCs w:val="0"/>
                <w:snapToGrid w:val="0"/>
                <w:color w:val="auto"/>
                <w:sz w:val="24"/>
                <w:szCs w:val="24"/>
                <w:highlight w:val="none"/>
                <w:lang w:val="en-US" w:eastAsia="zh-CN"/>
              </w:rPr>
              <w:t>23</w:t>
            </w:r>
            <w:r>
              <w:rPr>
                <w:rStyle w:val="16"/>
                <w:rFonts w:hint="eastAsia" w:hAnsi="宋体"/>
                <w:bCs w:val="0"/>
                <w:snapToGrid w:val="0"/>
                <w:color w:val="auto"/>
                <w:sz w:val="24"/>
                <w:szCs w:val="24"/>
                <w:highlight w:val="none"/>
              </w:rPr>
              <w:t>年</w:t>
            </w:r>
            <w:r>
              <w:rPr>
                <w:rStyle w:val="16"/>
                <w:rFonts w:hint="eastAsia" w:hAnsi="宋体"/>
                <w:bCs w:val="0"/>
                <w:snapToGrid w:val="0"/>
                <w:color w:val="auto"/>
                <w:sz w:val="24"/>
                <w:szCs w:val="24"/>
                <w:highlight w:val="none"/>
                <w:lang w:val="en-US" w:eastAsia="zh-CN"/>
              </w:rPr>
              <w:t>3</w:t>
            </w:r>
            <w:r>
              <w:rPr>
                <w:rStyle w:val="16"/>
                <w:rFonts w:hint="eastAsia" w:hAnsi="宋体"/>
                <w:bCs w:val="0"/>
                <w:snapToGrid w:val="0"/>
                <w:color w:val="auto"/>
                <w:sz w:val="24"/>
                <w:szCs w:val="24"/>
                <w:highlight w:val="none"/>
              </w:rPr>
              <w:t>月1日至今，以合同签订时间为准）</w:t>
            </w:r>
            <w:r>
              <w:rPr>
                <w:rStyle w:val="16"/>
                <w:rFonts w:hint="eastAsia" w:hAnsi="宋体"/>
                <w:bCs w:val="0"/>
                <w:snapToGrid w:val="0"/>
                <w:color w:val="auto"/>
                <w:sz w:val="24"/>
                <w:szCs w:val="24"/>
                <w:highlight w:val="none"/>
                <w:lang w:eastAsia="zh-CN"/>
              </w:rPr>
              <w:t>完成过</w:t>
            </w:r>
            <w:r>
              <w:rPr>
                <w:rStyle w:val="16"/>
                <w:rFonts w:hint="eastAsia" w:hAnsi="宋体"/>
                <w:bCs w:val="0"/>
                <w:snapToGrid w:val="0"/>
                <w:color w:val="auto"/>
                <w:sz w:val="24"/>
                <w:szCs w:val="24"/>
                <w:highlight w:val="none"/>
                <w:lang w:val="en-US" w:eastAsia="zh-CN"/>
              </w:rPr>
              <w:t>1套所投品牌环保设备的供货业绩</w:t>
            </w:r>
            <w:r>
              <w:rPr>
                <w:rStyle w:val="16"/>
                <w:rFonts w:hint="eastAsia" w:hAnsi="宋体"/>
                <w:bCs w:val="0"/>
                <w:snapToGrid w:val="0"/>
                <w:color w:val="auto"/>
                <w:sz w:val="24"/>
                <w:szCs w:val="24"/>
                <w:highlight w:val="none"/>
              </w:rPr>
              <w:t>。</w:t>
            </w:r>
          </w:p>
        </w:tc>
      </w:tr>
      <w:tr w14:paraId="1CB55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28"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6B0D1135">
            <w:pPr>
              <w:adjustRightInd w:val="0"/>
              <w:snapToGrid w:val="0"/>
              <w:spacing w:line="240" w:lineRule="auto"/>
              <w:ind w:firstLine="480" w:firstLineChars="200"/>
              <w:jc w:val="left"/>
              <w:rPr>
                <w:rStyle w:val="16"/>
                <w:rFonts w:hint="eastAsia"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三标段</w:t>
            </w:r>
            <w:r>
              <w:rPr>
                <w:rStyle w:val="16"/>
                <w:rFonts w:hint="eastAsia" w:hAnsi="宋体"/>
                <w:bCs w:val="0"/>
                <w:snapToGrid w:val="0"/>
                <w:color w:val="auto"/>
                <w:sz w:val="24"/>
                <w:szCs w:val="24"/>
                <w:highlight w:val="none"/>
              </w:rPr>
              <w:t>近</w:t>
            </w:r>
            <w:r>
              <w:rPr>
                <w:rStyle w:val="16"/>
                <w:rFonts w:hint="eastAsia" w:hAnsi="宋体"/>
                <w:bCs w:val="0"/>
                <w:snapToGrid w:val="0"/>
                <w:color w:val="auto"/>
                <w:sz w:val="24"/>
                <w:szCs w:val="24"/>
                <w:highlight w:val="none"/>
                <w:lang w:val="en-US" w:eastAsia="zh-CN"/>
              </w:rPr>
              <w:t>3</w:t>
            </w:r>
            <w:r>
              <w:rPr>
                <w:rStyle w:val="16"/>
                <w:rFonts w:hint="eastAsia" w:hAnsi="宋体"/>
                <w:bCs w:val="0"/>
                <w:snapToGrid w:val="0"/>
                <w:color w:val="auto"/>
                <w:sz w:val="24"/>
                <w:szCs w:val="24"/>
                <w:highlight w:val="none"/>
              </w:rPr>
              <w:t>年内（20</w:t>
            </w:r>
            <w:r>
              <w:rPr>
                <w:rStyle w:val="16"/>
                <w:rFonts w:hint="eastAsia" w:hAnsi="宋体"/>
                <w:bCs w:val="0"/>
                <w:snapToGrid w:val="0"/>
                <w:color w:val="auto"/>
                <w:sz w:val="24"/>
                <w:szCs w:val="24"/>
                <w:highlight w:val="none"/>
                <w:lang w:val="en-US" w:eastAsia="zh-CN"/>
              </w:rPr>
              <w:t>23</w:t>
            </w:r>
            <w:r>
              <w:rPr>
                <w:rStyle w:val="16"/>
                <w:rFonts w:hint="eastAsia" w:hAnsi="宋体"/>
                <w:bCs w:val="0"/>
                <w:snapToGrid w:val="0"/>
                <w:color w:val="auto"/>
                <w:sz w:val="24"/>
                <w:szCs w:val="24"/>
                <w:highlight w:val="none"/>
              </w:rPr>
              <w:t>年</w:t>
            </w:r>
            <w:r>
              <w:rPr>
                <w:rStyle w:val="16"/>
                <w:rFonts w:hint="eastAsia" w:hAnsi="宋体"/>
                <w:bCs w:val="0"/>
                <w:snapToGrid w:val="0"/>
                <w:color w:val="auto"/>
                <w:sz w:val="24"/>
                <w:szCs w:val="24"/>
                <w:highlight w:val="none"/>
                <w:lang w:val="en-US" w:eastAsia="zh-CN"/>
              </w:rPr>
              <w:t>3</w:t>
            </w:r>
            <w:r>
              <w:rPr>
                <w:rStyle w:val="16"/>
                <w:rFonts w:hint="eastAsia" w:hAnsi="宋体"/>
                <w:bCs w:val="0"/>
                <w:snapToGrid w:val="0"/>
                <w:color w:val="auto"/>
                <w:sz w:val="24"/>
                <w:szCs w:val="24"/>
                <w:highlight w:val="none"/>
              </w:rPr>
              <w:t>月1日至今，以合同签订时间为准）</w:t>
            </w:r>
            <w:r>
              <w:rPr>
                <w:rStyle w:val="16"/>
                <w:rFonts w:hint="eastAsia" w:hAnsi="宋体"/>
                <w:bCs w:val="0"/>
                <w:snapToGrid w:val="0"/>
                <w:color w:val="auto"/>
                <w:sz w:val="24"/>
                <w:szCs w:val="24"/>
                <w:highlight w:val="none"/>
                <w:lang w:eastAsia="zh-CN"/>
              </w:rPr>
              <w:t>完成过</w:t>
            </w:r>
            <w:r>
              <w:rPr>
                <w:rStyle w:val="16"/>
                <w:rFonts w:hint="eastAsia" w:hAnsi="宋体"/>
                <w:bCs w:val="0"/>
                <w:snapToGrid w:val="0"/>
                <w:color w:val="auto"/>
                <w:sz w:val="24"/>
                <w:szCs w:val="24"/>
                <w:highlight w:val="none"/>
                <w:lang w:val="en-US" w:eastAsia="zh-CN"/>
              </w:rPr>
              <w:t>1辆所投品牌装载机的供货业绩</w:t>
            </w:r>
            <w:r>
              <w:rPr>
                <w:rStyle w:val="16"/>
                <w:rFonts w:hint="eastAsia" w:hAnsi="宋体"/>
                <w:bCs w:val="0"/>
                <w:snapToGrid w:val="0"/>
                <w:color w:val="auto"/>
                <w:sz w:val="24"/>
                <w:szCs w:val="24"/>
                <w:highlight w:val="none"/>
              </w:rPr>
              <w:t>。</w:t>
            </w:r>
          </w:p>
        </w:tc>
      </w:tr>
    </w:tbl>
    <w:p w14:paraId="0994BC47">
      <w:pPr>
        <w:adjustRightInd w:val="0"/>
        <w:snapToGrid w:val="0"/>
        <w:spacing w:line="360" w:lineRule="auto"/>
        <w:jc w:val="center"/>
        <w:rPr>
          <w:rFonts w:ascii="宋体" w:hAnsi="宋体"/>
          <w:b/>
          <w:bCs/>
          <w:snapToGrid w:val="0"/>
          <w:color w:val="auto"/>
          <w:kern w:val="0"/>
          <w:sz w:val="24"/>
          <w:szCs w:val="24"/>
          <w:highlight w:val="none"/>
        </w:rPr>
      </w:pPr>
    </w:p>
    <w:p w14:paraId="2411AF7B">
      <w:pPr>
        <w:adjustRightInd w:val="0"/>
        <w:snapToGrid w:val="0"/>
        <w:spacing w:line="360" w:lineRule="auto"/>
        <w:jc w:val="center"/>
        <w:rPr>
          <w:rFonts w:ascii="宋体" w:hAnsi="宋体"/>
          <w:b/>
          <w:bCs/>
          <w:snapToGrid w:val="0"/>
          <w:color w:val="auto"/>
          <w:kern w:val="0"/>
          <w:sz w:val="24"/>
          <w:szCs w:val="24"/>
          <w:highlight w:val="none"/>
        </w:rPr>
      </w:pPr>
    </w:p>
    <w:p w14:paraId="2EBDBA76">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2"/>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413"/>
        <w:gridCol w:w="7106"/>
      </w:tblGrid>
      <w:tr w14:paraId="584E6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1531" w:type="dxa"/>
            <w:tcBorders>
              <w:top w:val="single" w:color="000000" w:sz="2" w:space="0"/>
              <w:left w:val="single" w:color="auto" w:sz="4" w:space="0"/>
              <w:bottom w:val="single" w:color="000000" w:sz="4" w:space="0"/>
              <w:right w:val="single" w:color="000000" w:sz="2" w:space="0"/>
            </w:tcBorders>
            <w:noWrap w:val="0"/>
            <w:vAlign w:val="center"/>
          </w:tcPr>
          <w:p w14:paraId="5EBB9D0E">
            <w:pPr>
              <w:adjustRightInd w:val="0"/>
              <w:snapToGrid w:val="0"/>
              <w:spacing w:line="240" w:lineRule="auto"/>
              <w:jc w:val="center"/>
              <w:textAlignment w:val="baseline"/>
              <w:rPr>
                <w:rStyle w:val="16"/>
                <w:rFonts w:hint="default" w:ascii="宋体" w:hAnsi="宋体" w:eastAsia="宋体"/>
                <w:snapToGrid w:val="0"/>
                <w:color w:val="auto"/>
                <w:kern w:val="0"/>
                <w:sz w:val="24"/>
                <w:szCs w:val="24"/>
                <w:highlight w:val="none"/>
                <w:lang w:val="en-US" w:eastAsia="zh-CN"/>
              </w:rPr>
            </w:pPr>
            <w:r>
              <w:rPr>
                <w:rStyle w:val="16"/>
                <w:rFonts w:hint="eastAsia" w:ascii="宋体" w:hAnsi="宋体"/>
                <w:snapToGrid w:val="0"/>
                <w:color w:val="auto"/>
                <w:kern w:val="0"/>
                <w:sz w:val="24"/>
                <w:szCs w:val="24"/>
                <w:highlight w:val="none"/>
                <w:lang w:val="en-US" w:eastAsia="zh-CN"/>
              </w:rPr>
              <w:t>标段号</w:t>
            </w:r>
          </w:p>
        </w:tc>
        <w:tc>
          <w:tcPr>
            <w:tcW w:w="7868" w:type="dxa"/>
            <w:tcBorders>
              <w:top w:val="single" w:color="000000" w:sz="2" w:space="0"/>
              <w:left w:val="single" w:color="auto" w:sz="4" w:space="0"/>
              <w:bottom w:val="single" w:color="000000" w:sz="4" w:space="0"/>
              <w:right w:val="single" w:color="000000" w:sz="2" w:space="0"/>
            </w:tcBorders>
            <w:noWrap w:val="0"/>
            <w:vAlign w:val="center"/>
          </w:tcPr>
          <w:p w14:paraId="49C46ECD">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信誉要求</w:t>
            </w:r>
          </w:p>
        </w:tc>
      </w:tr>
      <w:tr w14:paraId="428E0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1531" w:type="dxa"/>
            <w:tcBorders>
              <w:top w:val="single" w:color="000000" w:sz="2" w:space="0"/>
              <w:left w:val="single" w:color="auto" w:sz="4" w:space="0"/>
              <w:bottom w:val="single" w:color="000000" w:sz="2" w:space="0"/>
              <w:right w:val="single" w:color="000000" w:sz="2" w:space="0"/>
            </w:tcBorders>
            <w:noWrap w:val="0"/>
            <w:vAlign w:val="center"/>
          </w:tcPr>
          <w:p w14:paraId="6860A188">
            <w:pPr>
              <w:pStyle w:val="14"/>
              <w:spacing w:line="240" w:lineRule="auto"/>
              <w:ind w:left="0" w:leftChars="0" w:firstLine="0" w:firstLineChars="0"/>
              <w:jc w:val="center"/>
              <w:rPr>
                <w:rStyle w:val="16"/>
                <w:rFonts w:hint="default" w:ascii="宋体" w:hAnsi="宋体" w:eastAsia="宋体"/>
                <w:snapToGrid w:val="0"/>
                <w:color w:val="auto"/>
                <w:sz w:val="24"/>
                <w:szCs w:val="24"/>
                <w:highlight w:val="none"/>
                <w:lang w:val="en-US" w:eastAsia="zh-CN" w:bidi="ar"/>
              </w:rPr>
            </w:pPr>
            <w:r>
              <w:rPr>
                <w:rStyle w:val="16"/>
                <w:rFonts w:hint="eastAsia" w:ascii="宋体" w:hAnsi="宋体"/>
                <w:snapToGrid w:val="0"/>
                <w:color w:val="auto"/>
                <w:sz w:val="24"/>
                <w:szCs w:val="24"/>
                <w:highlight w:val="none"/>
                <w:lang w:val="en-US" w:eastAsia="zh-CN" w:bidi="ar"/>
              </w:rPr>
              <w:t>一标段</w:t>
            </w:r>
          </w:p>
        </w:tc>
        <w:tc>
          <w:tcPr>
            <w:tcW w:w="7868" w:type="dxa"/>
            <w:tcBorders>
              <w:top w:val="single" w:color="000000" w:sz="2" w:space="0"/>
              <w:left w:val="single" w:color="auto" w:sz="4" w:space="0"/>
              <w:bottom w:val="single" w:color="000000" w:sz="2" w:space="0"/>
              <w:right w:val="single" w:color="000000" w:sz="2" w:space="0"/>
            </w:tcBorders>
            <w:noWrap w:val="0"/>
            <w:vAlign w:val="center"/>
          </w:tcPr>
          <w:p w14:paraId="3F0B097C">
            <w:pPr>
              <w:pStyle w:val="14"/>
              <w:spacing w:line="240" w:lineRule="auto"/>
              <w:ind w:firstLine="480" w:firstLineChars="200"/>
              <w:rPr>
                <w:rFonts w:hint="eastAsia"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3</w:t>
            </w:r>
            <w:r>
              <w:rPr>
                <w:rFonts w:hint="eastAsia" w:ascii="宋体" w:hAnsi="宋体"/>
                <w:snapToGrid w:val="0"/>
                <w:color w:val="auto"/>
                <w:sz w:val="24"/>
                <w:szCs w:val="24"/>
                <w:highlight w:val="none"/>
                <w:lang w:bidi="ar"/>
              </w:rPr>
              <w:t>月1日至今）不曾在</w:t>
            </w:r>
            <w:r>
              <w:rPr>
                <w:rFonts w:hint="eastAsia" w:ascii="宋体" w:hAnsi="宋体"/>
                <w:snapToGrid w:val="0"/>
                <w:color w:val="auto"/>
                <w:sz w:val="24"/>
                <w:szCs w:val="24"/>
                <w:highlight w:val="none"/>
                <w:lang w:val="en-US" w:eastAsia="zh-CN" w:bidi="ar"/>
              </w:rPr>
              <w:t>融雪剂生产线设备</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融雪剂生产线设备</w:t>
            </w:r>
            <w:r>
              <w:rPr>
                <w:rFonts w:hint="eastAsia" w:ascii="宋体" w:hAnsi="宋体"/>
                <w:snapToGrid w:val="0"/>
                <w:color w:val="auto"/>
                <w:sz w:val="24"/>
                <w:szCs w:val="24"/>
                <w:highlight w:val="none"/>
                <w:lang w:bidi="ar"/>
              </w:rPr>
              <w:t>供货合同被解除。</w:t>
            </w:r>
          </w:p>
        </w:tc>
      </w:tr>
      <w:tr w14:paraId="1519E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1531" w:type="dxa"/>
            <w:tcBorders>
              <w:top w:val="single" w:color="000000" w:sz="2" w:space="0"/>
              <w:left w:val="single" w:color="auto" w:sz="4" w:space="0"/>
              <w:bottom w:val="single" w:color="000000" w:sz="2" w:space="0"/>
              <w:right w:val="single" w:color="000000" w:sz="2" w:space="0"/>
            </w:tcBorders>
            <w:noWrap w:val="0"/>
            <w:vAlign w:val="center"/>
          </w:tcPr>
          <w:p w14:paraId="32525825">
            <w:pPr>
              <w:pStyle w:val="14"/>
              <w:spacing w:line="240" w:lineRule="auto"/>
              <w:ind w:left="0" w:leftChars="0" w:firstLine="0" w:firstLineChars="0"/>
              <w:jc w:val="center"/>
              <w:rPr>
                <w:rFonts w:hint="eastAsia" w:ascii="宋体" w:hAnsi="宋体" w:eastAsia="宋体"/>
                <w:snapToGrid w:val="0"/>
                <w:color w:val="auto"/>
                <w:sz w:val="24"/>
                <w:szCs w:val="24"/>
                <w:highlight w:val="none"/>
                <w:lang w:val="en-US" w:eastAsia="zh-CN" w:bidi="ar"/>
              </w:rPr>
            </w:pPr>
            <w:r>
              <w:rPr>
                <w:rFonts w:hint="eastAsia" w:ascii="宋体" w:hAnsi="宋体"/>
                <w:snapToGrid w:val="0"/>
                <w:color w:val="auto"/>
                <w:sz w:val="24"/>
                <w:szCs w:val="24"/>
                <w:highlight w:val="none"/>
                <w:lang w:val="en-US" w:eastAsia="zh-CN" w:bidi="ar"/>
              </w:rPr>
              <w:t>二标段</w:t>
            </w:r>
          </w:p>
        </w:tc>
        <w:tc>
          <w:tcPr>
            <w:tcW w:w="7868" w:type="dxa"/>
            <w:tcBorders>
              <w:top w:val="single" w:color="000000" w:sz="2" w:space="0"/>
              <w:left w:val="single" w:color="auto" w:sz="4" w:space="0"/>
              <w:bottom w:val="single" w:color="000000" w:sz="2" w:space="0"/>
              <w:right w:val="single" w:color="000000" w:sz="2" w:space="0"/>
            </w:tcBorders>
            <w:noWrap w:val="0"/>
            <w:vAlign w:val="center"/>
          </w:tcPr>
          <w:p w14:paraId="390534FA">
            <w:pPr>
              <w:pStyle w:val="14"/>
              <w:spacing w:line="240" w:lineRule="auto"/>
              <w:ind w:firstLineChars="200"/>
              <w:rPr>
                <w:rFonts w:hint="eastAsia"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3</w:t>
            </w:r>
            <w:r>
              <w:rPr>
                <w:rFonts w:hint="eastAsia" w:ascii="宋体" w:hAnsi="宋体"/>
                <w:snapToGrid w:val="0"/>
                <w:color w:val="auto"/>
                <w:sz w:val="24"/>
                <w:szCs w:val="24"/>
                <w:highlight w:val="none"/>
                <w:lang w:bidi="ar"/>
              </w:rPr>
              <w:t>月1日至今）不曾在</w:t>
            </w:r>
            <w:r>
              <w:rPr>
                <w:rFonts w:hint="eastAsia" w:ascii="宋体" w:hAnsi="宋体"/>
                <w:snapToGrid w:val="0"/>
                <w:color w:val="auto"/>
                <w:sz w:val="24"/>
                <w:szCs w:val="24"/>
                <w:highlight w:val="none"/>
                <w:lang w:val="en-US" w:eastAsia="zh-CN" w:bidi="ar"/>
              </w:rPr>
              <w:t>融雪剂环保设备</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融雪剂环保设备</w:t>
            </w:r>
            <w:r>
              <w:rPr>
                <w:rFonts w:hint="eastAsia" w:ascii="宋体" w:hAnsi="宋体"/>
                <w:snapToGrid w:val="0"/>
                <w:color w:val="auto"/>
                <w:sz w:val="24"/>
                <w:szCs w:val="24"/>
                <w:highlight w:val="none"/>
                <w:lang w:bidi="ar"/>
              </w:rPr>
              <w:t>供货合同被解除。</w:t>
            </w:r>
          </w:p>
        </w:tc>
      </w:tr>
      <w:tr w14:paraId="7F798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1531" w:type="dxa"/>
            <w:tcBorders>
              <w:top w:val="single" w:color="000000" w:sz="2" w:space="0"/>
              <w:left w:val="single" w:color="auto" w:sz="4" w:space="0"/>
              <w:right w:val="single" w:color="000000" w:sz="2" w:space="0"/>
            </w:tcBorders>
            <w:noWrap w:val="0"/>
            <w:vAlign w:val="center"/>
          </w:tcPr>
          <w:p w14:paraId="09ED1DF0">
            <w:pPr>
              <w:pStyle w:val="14"/>
              <w:spacing w:line="240" w:lineRule="auto"/>
              <w:ind w:left="0" w:leftChars="0" w:firstLine="0" w:firstLineChars="0"/>
              <w:jc w:val="center"/>
              <w:rPr>
                <w:rFonts w:hint="eastAsia" w:ascii="宋体" w:hAnsi="宋体" w:eastAsia="宋体"/>
                <w:snapToGrid w:val="0"/>
                <w:color w:val="auto"/>
                <w:sz w:val="24"/>
                <w:szCs w:val="24"/>
                <w:highlight w:val="none"/>
                <w:lang w:val="en-US" w:eastAsia="zh-CN" w:bidi="ar"/>
              </w:rPr>
            </w:pPr>
            <w:r>
              <w:rPr>
                <w:rFonts w:hint="eastAsia" w:ascii="宋体" w:hAnsi="宋体"/>
                <w:snapToGrid w:val="0"/>
                <w:color w:val="auto"/>
                <w:sz w:val="24"/>
                <w:szCs w:val="24"/>
                <w:highlight w:val="none"/>
                <w:lang w:val="en-US" w:eastAsia="zh-CN" w:bidi="ar"/>
              </w:rPr>
              <w:t>三标段</w:t>
            </w:r>
          </w:p>
        </w:tc>
        <w:tc>
          <w:tcPr>
            <w:tcW w:w="7868" w:type="dxa"/>
            <w:tcBorders>
              <w:top w:val="single" w:color="000000" w:sz="2" w:space="0"/>
              <w:left w:val="single" w:color="auto" w:sz="4" w:space="0"/>
              <w:right w:val="single" w:color="000000" w:sz="2" w:space="0"/>
            </w:tcBorders>
            <w:noWrap w:val="0"/>
            <w:vAlign w:val="center"/>
          </w:tcPr>
          <w:p w14:paraId="13F9ECF5">
            <w:pPr>
              <w:pStyle w:val="14"/>
              <w:spacing w:line="240" w:lineRule="auto"/>
              <w:ind w:firstLineChars="200"/>
              <w:rPr>
                <w:rFonts w:hint="eastAsia"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3</w:t>
            </w:r>
            <w:r>
              <w:rPr>
                <w:rFonts w:hint="eastAsia" w:ascii="宋体" w:hAnsi="宋体"/>
                <w:snapToGrid w:val="0"/>
                <w:color w:val="auto"/>
                <w:sz w:val="24"/>
                <w:szCs w:val="24"/>
                <w:highlight w:val="none"/>
                <w:lang w:bidi="ar"/>
              </w:rPr>
              <w:t>月1日至今）不曾在</w:t>
            </w:r>
            <w:r>
              <w:rPr>
                <w:rFonts w:hint="eastAsia" w:ascii="宋体" w:hAnsi="宋体"/>
                <w:snapToGrid w:val="0"/>
                <w:color w:val="auto"/>
                <w:sz w:val="24"/>
                <w:szCs w:val="24"/>
                <w:highlight w:val="none"/>
                <w:lang w:val="en-US" w:eastAsia="zh-CN" w:bidi="ar"/>
              </w:rPr>
              <w:t>装载机</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装载机</w:t>
            </w:r>
            <w:r>
              <w:rPr>
                <w:rFonts w:hint="eastAsia" w:ascii="宋体" w:hAnsi="宋体"/>
                <w:snapToGrid w:val="0"/>
                <w:color w:val="auto"/>
                <w:sz w:val="24"/>
                <w:szCs w:val="24"/>
                <w:highlight w:val="none"/>
                <w:lang w:bidi="ar"/>
              </w:rPr>
              <w:t>供货合同被解除。</w:t>
            </w:r>
          </w:p>
        </w:tc>
      </w:tr>
    </w:tbl>
    <w:p w14:paraId="5F472017">
      <w:pPr>
        <w:pStyle w:val="3"/>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36511007"/>
      <w:bookmarkStart w:id="1" w:name="_Toc147943860"/>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0D089CD0">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134890522"/>
      <w:bookmarkStart w:id="5" w:name="_Toc134792409"/>
      <w:bookmarkStart w:id="6" w:name="_Toc450319202"/>
      <w:bookmarkStart w:id="7" w:name="_Toc509659998"/>
      <w:bookmarkStart w:id="8" w:name="_Toc531949857"/>
      <w:bookmarkStart w:id="9" w:name="_Toc134792341"/>
      <w:bookmarkStart w:id="10" w:name="_Toc502992691"/>
      <w:bookmarkStart w:id="11" w:name="_Toc134890444"/>
      <w:bookmarkStart w:id="12" w:name="_Toc134792892"/>
      <w:bookmarkStart w:id="13" w:name="_Toc509660966"/>
      <w:bookmarkStart w:id="14" w:name="_Toc459307890"/>
      <w:bookmarkStart w:id="15" w:name="_Toc444271617"/>
      <w:bookmarkStart w:id="16" w:name="_Toc445382083"/>
      <w:bookmarkStart w:id="17" w:name="_Toc444088432"/>
      <w:bookmarkStart w:id="18" w:name="_Toc445222503"/>
      <w:r>
        <w:rPr>
          <w:rFonts w:ascii="宋体" w:hAnsi="宋体"/>
          <w:b/>
          <w:bCs/>
          <w:snapToGrid w:val="0"/>
          <w:color w:val="auto"/>
          <w:kern w:val="0"/>
          <w:sz w:val="24"/>
          <w:highlight w:val="none"/>
        </w:rPr>
        <w:t>评标办法（</w:t>
      </w:r>
      <w:r>
        <w:rPr>
          <w:rFonts w:hint="eastAsia" w:ascii="宋体" w:hAnsi="宋体"/>
          <w:b/>
          <w:bCs/>
          <w:snapToGrid w:val="0"/>
          <w:color w:val="auto"/>
          <w:kern w:val="0"/>
          <w:sz w:val="24"/>
          <w:highlight w:val="none"/>
          <w:lang w:val="en-US" w:eastAsia="zh-CN"/>
        </w:rPr>
        <w:t>综合评估法</w:t>
      </w:r>
      <w:r>
        <w:rPr>
          <w:rFonts w:ascii="宋体" w:hAnsi="宋体"/>
          <w:b/>
          <w:bCs/>
          <w:snapToGrid w:val="0"/>
          <w:color w:val="auto"/>
          <w:kern w:val="0"/>
          <w:sz w:val="24"/>
          <w:highlight w:val="none"/>
        </w:rPr>
        <w:t>）</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2D0F93E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2"/>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67E8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75874F15">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1F69D0F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58C2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5E8D43CD">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2286EB3">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2183862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评分相等时，评标委员会依次按照以下优先顺序推荐中标候选人：</w:t>
            </w:r>
          </w:p>
          <w:p w14:paraId="6CF158F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13FB068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得分较高的投标人优先；</w:t>
            </w:r>
          </w:p>
          <w:p w14:paraId="2173D5B3">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（3）满足资格审查条件（业绩最低要求）的业绩累计合同金额高的优先。</w:t>
            </w:r>
          </w:p>
        </w:tc>
      </w:tr>
      <w:tr w14:paraId="11C4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78EB9892">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2D5C7D9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04AC274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4AD05ED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1DEDDCD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补遗书编号（如有）、投标</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（包括大写金额和小写金额）</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交货地点、交货期</w:t>
            </w:r>
            <w:r>
              <w:rPr>
                <w:rFonts w:hint="eastAsia" w:ascii="宋体" w:hAnsi="宋体" w:cs="宋体"/>
                <w:color w:val="auto"/>
                <w:sz w:val="24"/>
                <w:szCs w:val="24"/>
                <w:highlight w:val="none"/>
                <w:lang w:val="en-US" w:eastAsia="zh-CN"/>
              </w:rPr>
              <w:t>、质量标准和安全目标</w:t>
            </w:r>
            <w:r>
              <w:rPr>
                <w:rFonts w:hint="eastAsia" w:ascii="宋体" w:hAnsi="宋体" w:eastAsia="宋体" w:cs="宋体"/>
                <w:color w:val="auto"/>
                <w:sz w:val="24"/>
                <w:szCs w:val="24"/>
                <w:highlight w:val="none"/>
              </w:rPr>
              <w:t>；</w:t>
            </w:r>
          </w:p>
          <w:p w14:paraId="22D3947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7BA131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76CD7BA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12046C6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7717473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7C781F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3C8B3A3E">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w:t>
            </w:r>
            <w:r>
              <w:rPr>
                <w:rFonts w:hint="eastAsia" w:ascii="宋体" w:hAnsi="宋体" w:cs="宋体"/>
                <w:color w:val="auto"/>
                <w:sz w:val="24"/>
                <w:szCs w:val="24"/>
                <w:highlight w:val="none"/>
                <w:lang w:val="en-US" w:eastAsia="zh-CN"/>
              </w:rPr>
              <w:t>提出</w:t>
            </w:r>
            <w:r>
              <w:rPr>
                <w:rFonts w:hint="eastAsia" w:ascii="宋体" w:hAnsi="宋体" w:eastAsia="宋体" w:cs="宋体"/>
                <w:color w:val="auto"/>
                <w:sz w:val="24"/>
                <w:szCs w:val="24"/>
                <w:highlight w:val="none"/>
              </w:rPr>
              <w:t>分包</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w:t>
            </w:r>
          </w:p>
          <w:p w14:paraId="3724578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（8）投标人未</w:t>
            </w:r>
            <w:r>
              <w:rPr>
                <w:rFonts w:hint="eastAsia" w:ascii="宋体" w:hAnsi="宋体" w:cs="宋体"/>
                <w:color w:val="auto"/>
                <w:sz w:val="24"/>
                <w:szCs w:val="24"/>
                <w:highlight w:val="none"/>
                <w:lang w:val="en-US" w:eastAsia="zh-CN"/>
              </w:rPr>
              <w:t>对</w:t>
            </w:r>
            <w:r>
              <w:rPr>
                <w:rFonts w:hint="eastAsia" w:ascii="宋体" w:hAnsi="宋体" w:eastAsia="宋体" w:cs="宋体"/>
                <w:color w:val="auto"/>
                <w:sz w:val="24"/>
                <w:szCs w:val="24"/>
                <w:highlight w:val="none"/>
              </w:rPr>
              <w:t>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以上不同的投标文件。</w:t>
            </w:r>
          </w:p>
          <w:p w14:paraId="2F8D885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）投标文件载明的招标项目完成期限未超过招标文件规定的时限。</w:t>
            </w:r>
          </w:p>
          <w:p w14:paraId="645A0ED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）投标文件对招标文件的实质性要求和条件作出响应。</w:t>
            </w:r>
          </w:p>
          <w:p w14:paraId="4D7C8627">
            <w:pPr>
              <w:snapToGrid w:val="0"/>
              <w:spacing w:line="240" w:lineRule="auto"/>
              <w:rPr>
                <w:rFonts w:hint="eastAsia"/>
                <w:color w:val="auto"/>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）投标文件中投标设备的主要技术指标满足招标文件</w:t>
            </w:r>
            <w:r>
              <w:rPr>
                <w:rFonts w:hint="eastAsia" w:ascii="宋体" w:hAnsi="宋体" w:cs="宋体"/>
                <w:color w:val="auto"/>
                <w:sz w:val="24"/>
                <w:szCs w:val="24"/>
                <w:highlight w:val="none"/>
                <w:lang w:val="en-US" w:eastAsia="zh-CN"/>
              </w:rPr>
              <w:t>第五章供货要求</w:t>
            </w:r>
            <w:r>
              <w:rPr>
                <w:rFonts w:hint="eastAsia" w:ascii="宋体" w:hAnsi="宋体" w:cs="宋体"/>
                <w:color w:val="auto"/>
                <w:sz w:val="24"/>
                <w:szCs w:val="24"/>
                <w:highlight w:val="none"/>
                <w:lang w:eastAsia="zh-CN"/>
              </w:rPr>
              <w:t>中带★条款</w:t>
            </w:r>
            <w:r>
              <w:rPr>
                <w:rFonts w:hint="eastAsia" w:ascii="宋体" w:hAnsi="宋体" w:cs="宋体"/>
                <w:color w:val="auto"/>
                <w:sz w:val="24"/>
                <w:szCs w:val="24"/>
                <w:highlight w:val="none"/>
                <w:lang w:val="en-US" w:eastAsia="zh-CN"/>
              </w:rPr>
              <w:t>要求</w:t>
            </w:r>
            <w:r>
              <w:rPr>
                <w:rFonts w:hint="eastAsia" w:ascii="宋体" w:hAnsi="宋体" w:cs="宋体"/>
                <w:color w:val="auto"/>
                <w:sz w:val="24"/>
                <w:szCs w:val="24"/>
                <w:highlight w:val="none"/>
                <w:lang w:eastAsia="zh-CN"/>
              </w:rPr>
              <w:t>。</w:t>
            </w:r>
          </w:p>
          <w:p w14:paraId="1889A6E9">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）技术支持资料符合第二章“投标人须知”第1.11.3项规定。</w:t>
            </w:r>
          </w:p>
          <w:p w14:paraId="58FFDEE3">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）权利义务符合招标文件规定：</w:t>
            </w:r>
          </w:p>
          <w:p w14:paraId="3C443B2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a．投标人应接受招标文件规定的风险划分原则，未提出新的风险划分办法；</w:t>
            </w:r>
          </w:p>
          <w:p w14:paraId="76C491F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b．投标人未增加发包人的责任范围，或减少投标人义务；</w:t>
            </w:r>
          </w:p>
          <w:p w14:paraId="0B5C93A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c．投标人未提出不同的验收、计量、支付办法；</w:t>
            </w:r>
          </w:p>
          <w:p w14:paraId="0C23457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d．投标人对合同纠纷、事故处理办法未提出异议；</w:t>
            </w:r>
          </w:p>
          <w:p w14:paraId="0489593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e．投标人在投标活动中无欺诈行为；</w:t>
            </w:r>
          </w:p>
          <w:p w14:paraId="7DAD3782">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f．投标人未对合同条款有重要保留</w:t>
            </w:r>
            <w:r>
              <w:rPr>
                <w:rFonts w:hint="eastAsia" w:ascii="宋体" w:hAnsi="宋体" w:cs="宋体"/>
                <w:color w:val="auto"/>
                <w:sz w:val="24"/>
                <w:szCs w:val="24"/>
                <w:highlight w:val="none"/>
                <w:lang w:eastAsia="zh-CN"/>
              </w:rPr>
              <w:t>。</w:t>
            </w:r>
          </w:p>
          <w:p w14:paraId="4E00E53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投标报价未超过招标文件设定的最高投标限价。</w:t>
            </w:r>
          </w:p>
          <w:p w14:paraId="69E08A2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）投标报价的大写金额能够确定具体数值。</w:t>
            </w:r>
          </w:p>
          <w:p w14:paraId="33DA55A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6A06F1EB">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大写金额一致。</w:t>
            </w:r>
          </w:p>
          <w:p w14:paraId="4B33599E">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lang w:eastAsia="zh-CN"/>
              </w:rPr>
              <w:t>）投标人不存在因投标人须知前附表3.2.5项规定被评标委员会认定为低于成本或</w:t>
            </w:r>
            <w:r>
              <w:rPr>
                <w:rFonts w:hint="eastAsia" w:ascii="宋体" w:hAnsi="宋体" w:cs="宋体"/>
                <w:color w:val="auto"/>
                <w:sz w:val="24"/>
                <w:szCs w:val="24"/>
                <w:highlight w:val="none"/>
                <w:lang w:val="en-US" w:eastAsia="zh-CN"/>
              </w:rPr>
              <w:t>影响</w:t>
            </w:r>
            <w:r>
              <w:rPr>
                <w:rFonts w:hint="eastAsia" w:ascii="宋体" w:hAnsi="宋体" w:eastAsia="宋体" w:cs="宋体"/>
                <w:color w:val="auto"/>
                <w:sz w:val="24"/>
                <w:szCs w:val="24"/>
                <w:highlight w:val="none"/>
                <w:lang w:eastAsia="zh-CN"/>
              </w:rPr>
              <w:t>履约的异常低价竟标的情形。</w:t>
            </w:r>
          </w:p>
          <w:p w14:paraId="13CE8A65">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lang w:eastAsia="zh-CN"/>
              </w:rPr>
              <w:t>）投标人不存在投标人须知前附表4.4（1）、（3）情形。</w:t>
            </w:r>
          </w:p>
          <w:p w14:paraId="5AB30835">
            <w:pPr>
              <w:snapToGrid w:val="0"/>
              <w:spacing w:line="24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eastAsia="zh-CN"/>
              </w:rPr>
              <w:t>）投标人不存在因投标人须知前附表4.4(2)项规定的情形被评标委员会认定为串通投标、弄虚作假情形等违法行为。</w:t>
            </w:r>
          </w:p>
        </w:tc>
      </w:tr>
      <w:tr w14:paraId="4C53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51A04FA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5FE87C6C">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51E47D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投标人应是中华人民共和国境内的法人或其他组织，持有有效的营业执照</w:t>
            </w:r>
            <w:r>
              <w:rPr>
                <w:rFonts w:hint="eastAsia" w:ascii="宋体" w:hAnsi="宋体" w:eastAsia="宋体" w:cs="宋体"/>
                <w:color w:val="auto"/>
                <w:sz w:val="24"/>
                <w:szCs w:val="24"/>
                <w:highlight w:val="none"/>
              </w:rPr>
              <w:t>和基本账户开户许可证（或基本存款账户信息）；</w:t>
            </w:r>
          </w:p>
          <w:p w14:paraId="6497E06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7EC76C7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36EDCA1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41ABFB9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1.4.4</w:t>
            </w:r>
            <w:r>
              <w:rPr>
                <w:rFonts w:hint="eastAsia" w:ascii="宋体" w:hAnsi="宋体" w:eastAsia="宋体" w:cs="宋体"/>
                <w:color w:val="auto"/>
                <w:sz w:val="24"/>
                <w:szCs w:val="24"/>
                <w:highlight w:val="none"/>
              </w:rPr>
              <w:t>项规定的任何一种情形。</w:t>
            </w:r>
          </w:p>
          <w:p w14:paraId="3F0550B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）投标人名称与营业执照一致，如企业名称有变更的，应提供其变更记录或相关部门的合法批件复印件。</w:t>
            </w:r>
          </w:p>
        </w:tc>
      </w:tr>
      <w:tr w14:paraId="484D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7724F63A">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493CA57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22B561F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2D98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08D2C56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6CD7252C">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p>
          <w:p w14:paraId="7E643661">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19ED64B3">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商务部分：20分</w:t>
            </w:r>
          </w:p>
          <w:p w14:paraId="66A80205">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技术部分：</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分</w:t>
            </w:r>
          </w:p>
          <w:p w14:paraId="451CAB77">
            <w:pPr>
              <w:snapToGrid w:val="0"/>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投标报价：</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分</w:t>
            </w:r>
          </w:p>
        </w:tc>
      </w:tr>
      <w:tr w14:paraId="7D00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4EB5A7B2">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6B6B6DBC">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详细评审标准</w:t>
            </w:r>
          </w:p>
        </w:tc>
        <w:tc>
          <w:tcPr>
            <w:tcW w:w="7197" w:type="dxa"/>
            <w:noWrap w:val="0"/>
            <w:vAlign w:val="center"/>
          </w:tcPr>
          <w:p w14:paraId="19A3AC14">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评标基准价的计算：</w:t>
            </w:r>
          </w:p>
          <w:p w14:paraId="04B36774">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1、评标价的确定：</w:t>
            </w:r>
          </w:p>
          <w:p w14:paraId="34DD4F3E">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p w14:paraId="65A30B76">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2、评标价平均值的计算：</w:t>
            </w:r>
          </w:p>
          <w:p w14:paraId="203D72B1">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根据第二章“投标人须知”第5.</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项规定在开标现场被宣布为不进入评标基准价计算的投标报价除外，</w:t>
            </w:r>
            <w:r>
              <w:rPr>
                <w:rFonts w:hint="eastAsia" w:ascii="宋体" w:hAnsi="宋体" w:eastAsia="宋体" w:cs="宋体"/>
                <w:color w:val="auto"/>
                <w:sz w:val="24"/>
                <w:szCs w:val="24"/>
                <w:highlight w:val="none"/>
              </w:rPr>
              <w:t>所有投标人的评标价去掉规定个数的最高值和最低值后的算术平均值即为评标价平均值。</w:t>
            </w:r>
          </w:p>
          <w:p w14:paraId="67987089">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a、如果参与评标价平均值计算的投标人数量＜6家时，计算评标价平均值时不去最高值和最低值。</w:t>
            </w:r>
          </w:p>
          <w:p w14:paraId="7D49029A">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b、如果6家≤参与评标价平均值计算的投标人数量＜10家时，计算评标价平均值时去掉1个最高值和1个最低值。 </w:t>
            </w:r>
          </w:p>
          <w:p w14:paraId="0A512CBB">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c、如果10家≤参与评标价平均值计算的投标人数量＜20家时，计算评标价平均值时去掉2个最高值和2个最低值； </w:t>
            </w:r>
          </w:p>
          <w:p w14:paraId="6DF3A573">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d、如果20家≤参与评标价平均值计算的投标人数量＜30家时，计算评标价平均值时去掉3个最高值和3个最低值； </w:t>
            </w:r>
          </w:p>
          <w:p w14:paraId="77FFD985">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e、如果30家≤参与评标价平均值计算的投标人数量时，计算评标价平均值时去掉5个最高值和5个最低值；</w:t>
            </w:r>
          </w:p>
          <w:p w14:paraId="4F7C5876">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3、评标基准价的确定：</w:t>
            </w:r>
          </w:p>
          <w:p w14:paraId="5278921C">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评标价平均值。</w:t>
            </w:r>
          </w:p>
          <w:p w14:paraId="409B0E8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评标基准价保留小数点后两位，小数点后第三位四舍五入。</w:t>
            </w:r>
          </w:p>
        </w:tc>
      </w:tr>
      <w:tr w14:paraId="2AAC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259" w:hRule="atLeast"/>
          <w:jc w:val="center"/>
        </w:trPr>
        <w:tc>
          <w:tcPr>
            <w:tcW w:w="1143" w:type="dxa"/>
            <w:noWrap w:val="0"/>
            <w:vAlign w:val="center"/>
          </w:tcPr>
          <w:p w14:paraId="165F5915">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850B5AC">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评标价的偏差率计算公式</w:t>
            </w:r>
          </w:p>
        </w:tc>
        <w:tc>
          <w:tcPr>
            <w:tcW w:w="7197" w:type="dxa"/>
            <w:noWrap w:val="0"/>
            <w:vAlign w:val="center"/>
          </w:tcPr>
          <w:p w14:paraId="35835DE8">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偏差率=100%×（投标人评标价-评标基准价）/评标基准价</w:t>
            </w:r>
          </w:p>
        </w:tc>
      </w:tr>
      <w:tr w14:paraId="605E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259" w:hRule="atLeast"/>
          <w:jc w:val="center"/>
        </w:trPr>
        <w:tc>
          <w:tcPr>
            <w:tcW w:w="1143" w:type="dxa"/>
            <w:noWrap w:val="0"/>
            <w:vAlign w:val="center"/>
          </w:tcPr>
          <w:p w14:paraId="7A0F0FB9">
            <w:pPr>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3.5.3</w:t>
            </w:r>
          </w:p>
        </w:tc>
        <w:tc>
          <w:tcPr>
            <w:tcW w:w="1317" w:type="dxa"/>
            <w:noWrap w:val="0"/>
            <w:vAlign w:val="center"/>
          </w:tcPr>
          <w:p w14:paraId="214C967D">
            <w:pPr>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异常低价情形</w:t>
            </w:r>
          </w:p>
        </w:tc>
        <w:tc>
          <w:tcPr>
            <w:tcW w:w="7197" w:type="dxa"/>
            <w:noWrap w:val="0"/>
            <w:vAlign w:val="center"/>
          </w:tcPr>
          <w:p w14:paraId="2DA115E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存在投标人须知前附表3.2.5项情形的应当要求该投标人作出书面说明并提供相应的证明材料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并在规定时间内进行答复。</w:t>
            </w:r>
            <w:r>
              <w:rPr>
                <w:rFonts w:hint="eastAsia" w:ascii="宋体" w:hAnsi="宋体" w:eastAsia="宋体" w:cs="宋体"/>
                <w:color w:val="auto"/>
                <w:sz w:val="24"/>
                <w:szCs w:val="24"/>
                <w:highlight w:val="none"/>
              </w:rPr>
              <w:t>投标人不能合理说明或者不能提供相应证明材料的，评标委员会应当认定该投标人以低于成本或影响履约的异常低价竞标，否决其投标。</w:t>
            </w:r>
          </w:p>
        </w:tc>
      </w:tr>
      <w:tr w14:paraId="0932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502FCC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5F85B6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0C36D2B9">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0A0F38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757C59D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（1）投标人信用情况网页截图内容与在“国家企业信用信息公示系统”中严重违法失信名单（黑名单）信息（不含分公司）或在“信用中国”网站“中失信被执行人、</w:t>
            </w:r>
            <w:r>
              <w:rPr>
                <w:rFonts w:hint="eastAsia" w:ascii="宋体" w:hAnsi="宋体" w:cs="宋体"/>
                <w:color w:val="auto"/>
                <w:sz w:val="24"/>
                <w:szCs w:val="24"/>
                <w:highlight w:val="none"/>
                <w:lang w:eastAsia="zh-CN"/>
              </w:rPr>
              <w:t>经营（活动）异常名录</w:t>
            </w:r>
            <w:r>
              <w:rPr>
                <w:rFonts w:hint="eastAsia" w:ascii="宋体" w:hAnsi="宋体" w:eastAsia="宋体" w:cs="宋体"/>
                <w:color w:val="auto"/>
                <w:sz w:val="24"/>
                <w:szCs w:val="24"/>
                <w:highlight w:val="none"/>
              </w:rPr>
              <w:t>、重大税收违法失信主体、</w:t>
            </w:r>
            <w:r>
              <w:rPr>
                <w:rFonts w:hint="eastAsia" w:ascii="宋体" w:hAnsi="宋体" w:eastAsia="宋体" w:cs="宋体"/>
                <w:color w:val="auto"/>
                <w:sz w:val="24"/>
                <w:szCs w:val="24"/>
                <w:highlight w:val="none"/>
                <w:lang w:eastAsia="zh-CN"/>
              </w:rPr>
              <w:t>政府采购严重违法失信行为记录名单和安全生产严重失信主体名单</w:t>
            </w:r>
            <w:r>
              <w:rPr>
                <w:rFonts w:hint="eastAsia" w:ascii="宋体" w:hAnsi="宋体" w:eastAsia="宋体" w:cs="宋体"/>
                <w:color w:val="auto"/>
                <w:sz w:val="24"/>
                <w:szCs w:val="24"/>
                <w:highlight w:val="none"/>
              </w:rPr>
              <w:t>（均不含分公司）的复核结果一致。</w:t>
            </w:r>
          </w:p>
          <w:p w14:paraId="075A0B4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如投标人未提供相关网页截图或所附截图与复核结果不一致导致不能满足资格评审要求的，评标委员会应否决其投标。</w:t>
            </w:r>
          </w:p>
          <w:p w14:paraId="1D33D125">
            <w:pPr>
              <w:autoSpaceDE w:val="0"/>
              <w:autoSpaceDN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5748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9205DC6">
            <w:pPr>
              <w:autoSpaceDE w:val="0"/>
              <w:autoSpaceDN w:val="0"/>
              <w:snapToGrid w:val="0"/>
              <w:spacing w:line="24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增加3.6.3</w:t>
            </w:r>
          </w:p>
        </w:tc>
        <w:tc>
          <w:tcPr>
            <w:tcW w:w="1317" w:type="dxa"/>
            <w:noWrap w:val="0"/>
            <w:vAlign w:val="center"/>
          </w:tcPr>
          <w:p w14:paraId="1A64CB18">
            <w:pPr>
              <w:autoSpaceDE w:val="0"/>
              <w:autoSpaceDN w:val="0"/>
              <w:snapToGrid w:val="0"/>
              <w:spacing w:line="240" w:lineRule="auto"/>
              <w:jc w:val="center"/>
              <w:rPr>
                <w:rFonts w:hint="eastAsia" w:ascii="宋体" w:hAnsi="宋体" w:eastAsia="宋体" w:cs="宋体"/>
                <w:color w:val="auto"/>
                <w:sz w:val="24"/>
                <w:szCs w:val="24"/>
                <w:highlight w:val="none"/>
              </w:rPr>
            </w:pPr>
            <w:r>
              <w:rPr>
                <w:rFonts w:hint="default" w:ascii="宋体" w:hAnsi="宋体" w:eastAsia="宋体" w:cs="宋体"/>
                <w:color w:val="auto"/>
                <w:sz w:val="24"/>
                <w:szCs w:val="24"/>
                <w:highlight w:val="none"/>
                <w:lang w:val="en-US"/>
              </w:rPr>
              <w:t>投标人其他异常投标情形</w:t>
            </w:r>
          </w:p>
        </w:tc>
        <w:tc>
          <w:tcPr>
            <w:tcW w:w="7197" w:type="dxa"/>
            <w:noWrap w:val="0"/>
            <w:vAlign w:val="center"/>
          </w:tcPr>
          <w:p w14:paraId="0D9508F7">
            <w:pPr>
              <w:autoSpaceDE w:val="0"/>
              <w:autoSpaceDN w:val="0"/>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val="en-US" w:eastAsia="zh-CN"/>
              </w:rPr>
              <w:t>1.投标人不存在</w:t>
            </w:r>
            <w:r>
              <w:rPr>
                <w:rFonts w:hint="eastAsia" w:ascii="宋体" w:hAnsi="宋体" w:eastAsia="宋体" w:cs="宋体"/>
                <w:strike w:val="0"/>
                <w:dstrike w:val="0"/>
                <w:color w:val="auto"/>
                <w:sz w:val="24"/>
                <w:szCs w:val="24"/>
                <w:highlight w:val="none"/>
                <w:lang w:eastAsia="zh-CN"/>
              </w:rPr>
              <w:t>投标人须知</w:t>
            </w:r>
            <w:r>
              <w:rPr>
                <w:rFonts w:hint="eastAsia" w:ascii="宋体" w:hAnsi="宋体" w:eastAsia="宋体" w:cs="宋体"/>
                <w:strike w:val="0"/>
                <w:dstrike w:val="0"/>
                <w:color w:val="auto"/>
                <w:sz w:val="24"/>
                <w:szCs w:val="24"/>
                <w:highlight w:val="none"/>
                <w:lang w:val="en-US" w:eastAsia="zh-CN"/>
              </w:rPr>
              <w:t>前附表</w:t>
            </w:r>
            <w:r>
              <w:rPr>
                <w:rFonts w:hint="eastAsia" w:ascii="宋体" w:hAnsi="宋体" w:eastAsia="宋体" w:cs="宋体"/>
                <w:strike w:val="0"/>
                <w:dstrike w:val="0"/>
                <w:color w:val="auto"/>
                <w:sz w:val="24"/>
                <w:szCs w:val="24"/>
                <w:highlight w:val="none"/>
                <w:lang w:eastAsia="zh-CN"/>
              </w:rPr>
              <w:t>4.4（</w:t>
            </w:r>
            <w:r>
              <w:rPr>
                <w:rFonts w:hint="eastAsia" w:ascii="宋体" w:hAnsi="宋体" w:eastAsia="宋体" w:cs="宋体"/>
                <w:strike w:val="0"/>
                <w:dstrike w:val="0"/>
                <w:color w:val="auto"/>
                <w:sz w:val="24"/>
                <w:szCs w:val="24"/>
                <w:highlight w:val="none"/>
                <w:lang w:val="en-US" w:eastAsia="zh-CN"/>
              </w:rPr>
              <w:t>1）、（3）情形</w:t>
            </w:r>
            <w:r>
              <w:rPr>
                <w:rFonts w:hint="eastAsia" w:ascii="宋体" w:hAnsi="宋体" w:eastAsia="宋体" w:cs="宋体"/>
                <w:strike w:val="0"/>
                <w:dstrike w:val="0"/>
                <w:color w:val="auto"/>
                <w:sz w:val="24"/>
                <w:szCs w:val="24"/>
                <w:highlight w:val="none"/>
                <w:lang w:eastAsia="zh-CN"/>
              </w:rPr>
              <w:t>。</w:t>
            </w:r>
          </w:p>
          <w:p w14:paraId="00776002">
            <w:pPr>
              <w:autoSpaceDE w:val="0"/>
              <w:autoSpaceDN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strike w:val="0"/>
                <w:dstrike w:val="0"/>
                <w:color w:val="auto"/>
                <w:sz w:val="24"/>
                <w:szCs w:val="24"/>
                <w:highlight w:val="none"/>
                <w:lang w:val="en-US" w:eastAsia="zh-CN"/>
              </w:rPr>
              <w:t>2.投标人存在</w:t>
            </w:r>
            <w:r>
              <w:rPr>
                <w:rFonts w:hint="eastAsia" w:ascii="宋体" w:hAnsi="宋体" w:eastAsia="宋体" w:cs="宋体"/>
                <w:strike w:val="0"/>
                <w:dstrike w:val="0"/>
                <w:color w:val="auto"/>
                <w:sz w:val="24"/>
                <w:szCs w:val="24"/>
                <w:highlight w:val="none"/>
                <w:lang w:eastAsia="zh-CN"/>
              </w:rPr>
              <w:t>投标人须知</w:t>
            </w:r>
            <w:r>
              <w:rPr>
                <w:rFonts w:hint="eastAsia" w:ascii="宋体" w:hAnsi="宋体" w:eastAsia="宋体" w:cs="宋体"/>
                <w:strike w:val="0"/>
                <w:dstrike w:val="0"/>
                <w:color w:val="auto"/>
                <w:sz w:val="24"/>
                <w:szCs w:val="24"/>
                <w:highlight w:val="none"/>
                <w:lang w:val="en-US" w:eastAsia="zh-CN"/>
              </w:rPr>
              <w:t>前附表</w:t>
            </w:r>
            <w:r>
              <w:rPr>
                <w:rFonts w:hint="eastAsia" w:ascii="宋体" w:hAnsi="宋体" w:eastAsia="宋体" w:cs="宋体"/>
                <w:strike w:val="0"/>
                <w:dstrike w:val="0"/>
                <w:color w:val="auto"/>
                <w:sz w:val="24"/>
                <w:szCs w:val="24"/>
                <w:highlight w:val="none"/>
                <w:lang w:eastAsia="zh-CN"/>
              </w:rPr>
              <w:t>4.4（</w:t>
            </w:r>
            <w:r>
              <w:rPr>
                <w:rFonts w:hint="eastAsia" w:ascii="宋体" w:hAnsi="宋体" w:eastAsia="宋体" w:cs="宋体"/>
                <w:strike w:val="0"/>
                <w:dstrike w:val="0"/>
                <w:color w:val="auto"/>
                <w:sz w:val="24"/>
                <w:szCs w:val="24"/>
                <w:highlight w:val="none"/>
                <w:lang w:val="en-US" w:eastAsia="zh-CN"/>
              </w:rPr>
              <w:t>2）情形的，评标委员会应当通知投标人可在规定时间内作出解释说明。评标委员会经核查发现投标人存在串通投标、弄虚作假情形等违法行为的，</w:t>
            </w:r>
            <w:r>
              <w:rPr>
                <w:rFonts w:hint="eastAsia" w:ascii="宋体" w:hAnsi="宋体" w:eastAsia="宋体" w:cs="宋体"/>
                <w:strike w:val="0"/>
                <w:dstrike w:val="0"/>
                <w:color w:val="auto"/>
                <w:sz w:val="24"/>
                <w:szCs w:val="24"/>
                <w:highlight w:val="none"/>
              </w:rPr>
              <w:t>应否决其投标。</w:t>
            </w:r>
          </w:p>
        </w:tc>
      </w:tr>
    </w:tbl>
    <w:p w14:paraId="76D7117F">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2"/>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1722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noWrap w:val="0"/>
            <w:vAlign w:val="center"/>
          </w:tcPr>
          <w:p w14:paraId="1CE0125F">
            <w:pPr>
              <w:pStyle w:val="7"/>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1DDE9971">
            <w:pPr>
              <w:pStyle w:val="7"/>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5E266B5">
            <w:pPr>
              <w:pStyle w:val="7"/>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15845A4A">
            <w:pPr>
              <w:adjustRightInd w:val="0"/>
              <w:snapToGrid w:val="0"/>
              <w:jc w:val="center"/>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评分因素</w:t>
            </w:r>
            <w:r>
              <w:rPr>
                <w:rFonts w:hint="eastAsia" w:ascii="宋体" w:hAnsi="宋体" w:cs="宋体"/>
                <w:color w:val="auto"/>
                <w:sz w:val="24"/>
                <w:szCs w:val="24"/>
                <w:highlight w:val="none"/>
                <w:lang w:val="en-US" w:eastAsia="zh-CN"/>
              </w:rPr>
              <w:t>细项</w:t>
            </w:r>
          </w:p>
        </w:tc>
        <w:tc>
          <w:tcPr>
            <w:tcW w:w="894" w:type="dxa"/>
            <w:noWrap w:val="0"/>
            <w:vAlign w:val="center"/>
          </w:tcPr>
          <w:p w14:paraId="53484639">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3300C713">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23C9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18E5C2CE">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7B5AA46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2A3059B8">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商务部分</w:t>
            </w:r>
          </w:p>
        </w:tc>
        <w:tc>
          <w:tcPr>
            <w:tcW w:w="2216" w:type="dxa"/>
            <w:vMerge w:val="restart"/>
            <w:noWrap w:val="0"/>
            <w:vAlign w:val="center"/>
          </w:tcPr>
          <w:p w14:paraId="562FC1DD">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4A2F8288">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20</w:t>
            </w:r>
            <w:r>
              <w:rPr>
                <w:rFonts w:hint="eastAsia" w:ascii="宋体" w:hAnsi="宋体" w:cs="宋体"/>
                <w:color w:val="auto"/>
                <w:kern w:val="0"/>
                <w:sz w:val="24"/>
                <w:szCs w:val="24"/>
                <w:highlight w:val="none"/>
              </w:rPr>
              <w:t>分</w:t>
            </w:r>
          </w:p>
        </w:tc>
        <w:tc>
          <w:tcPr>
            <w:tcW w:w="4119" w:type="dxa"/>
            <w:noWrap w:val="0"/>
            <w:vAlign w:val="center"/>
          </w:tcPr>
          <w:p w14:paraId="5B6DEAFF">
            <w:pPr>
              <w:ind w:right="113"/>
              <w:rPr>
                <w:rFonts w:hint="eastAsia" w:ascii="宋体" w:hAnsi="宋体" w:cs="宋体"/>
                <w:color w:val="auto"/>
                <w:sz w:val="24"/>
                <w:szCs w:val="24"/>
                <w:highlight w:val="none"/>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7AC6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59" w:type="dxa"/>
            <w:vMerge w:val="continue"/>
            <w:noWrap w:val="0"/>
            <w:vAlign w:val="center"/>
          </w:tcPr>
          <w:p w14:paraId="58B49FEC">
            <w:pPr>
              <w:jc w:val="center"/>
              <w:rPr>
                <w:rFonts w:hint="eastAsia" w:ascii="宋体" w:hAnsi="宋体" w:cs="宋体"/>
                <w:color w:val="auto"/>
                <w:kern w:val="0"/>
                <w:sz w:val="24"/>
                <w:szCs w:val="24"/>
                <w:highlight w:val="none"/>
              </w:rPr>
            </w:pPr>
          </w:p>
        </w:tc>
        <w:tc>
          <w:tcPr>
            <w:tcW w:w="1186" w:type="dxa"/>
            <w:vMerge w:val="continue"/>
            <w:noWrap w:val="0"/>
            <w:vAlign w:val="center"/>
          </w:tcPr>
          <w:p w14:paraId="0653E746">
            <w:pPr>
              <w:jc w:val="center"/>
              <w:rPr>
                <w:rFonts w:hint="eastAsia" w:ascii="宋体" w:hAnsi="宋体" w:cs="宋体"/>
                <w:color w:val="auto"/>
                <w:kern w:val="0"/>
                <w:sz w:val="24"/>
                <w:szCs w:val="24"/>
                <w:highlight w:val="none"/>
              </w:rPr>
            </w:pPr>
          </w:p>
        </w:tc>
        <w:tc>
          <w:tcPr>
            <w:tcW w:w="2216" w:type="dxa"/>
            <w:vMerge w:val="continue"/>
            <w:noWrap w:val="0"/>
            <w:vAlign w:val="center"/>
          </w:tcPr>
          <w:p w14:paraId="3D896629">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1CEBFB23">
            <w:pPr>
              <w:jc w:val="center"/>
              <w:rPr>
                <w:rFonts w:hint="eastAsia" w:ascii="宋体" w:hAnsi="宋体" w:cs="宋体"/>
                <w:color w:val="auto"/>
                <w:kern w:val="0"/>
                <w:sz w:val="24"/>
                <w:szCs w:val="24"/>
                <w:highlight w:val="none"/>
              </w:rPr>
            </w:pPr>
          </w:p>
        </w:tc>
        <w:tc>
          <w:tcPr>
            <w:tcW w:w="4119" w:type="dxa"/>
            <w:noWrap w:val="0"/>
            <w:vAlign w:val="center"/>
          </w:tcPr>
          <w:p w14:paraId="67D49104">
            <w:pPr>
              <w:snapToGrid w:val="0"/>
              <w:spacing w:line="320" w:lineRule="exact"/>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在满足资格审查条件（业绩最低要求）的基础上，每增加一套所投品牌设备供货业绩加4分，最多加8分。</w:t>
            </w:r>
          </w:p>
        </w:tc>
      </w:tr>
      <w:tr w14:paraId="2493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restart"/>
            <w:noWrap w:val="0"/>
            <w:vAlign w:val="center"/>
          </w:tcPr>
          <w:p w14:paraId="78AA206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470A771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1F191243">
            <w:pPr>
              <w:pStyle w:val="2"/>
              <w:rPr>
                <w:rFonts w:hint="eastAsia"/>
                <w:color w:val="auto"/>
                <w:highlight w:val="none"/>
                <w:lang w:eastAsia="zh-CN"/>
              </w:rPr>
            </w:pPr>
            <w:r>
              <w:rPr>
                <w:rFonts w:hint="eastAsia" w:cs="宋体"/>
                <w:color w:val="auto"/>
                <w:kern w:val="0"/>
                <w:sz w:val="24"/>
                <w:szCs w:val="24"/>
                <w:highlight w:val="none"/>
                <w:lang w:val="en-US" w:eastAsia="zh-CN"/>
              </w:rPr>
              <w:t>技术部分</w:t>
            </w:r>
          </w:p>
        </w:tc>
        <w:tc>
          <w:tcPr>
            <w:tcW w:w="2216" w:type="dxa"/>
            <w:vMerge w:val="restart"/>
            <w:noWrap w:val="0"/>
            <w:vAlign w:val="center"/>
          </w:tcPr>
          <w:p w14:paraId="0E203E72">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pacing w:val="12"/>
                <w:sz w:val="24"/>
                <w:szCs w:val="24"/>
                <w:highlight w:val="none"/>
                <w:lang w:val="en-US" w:eastAsia="zh-CN"/>
              </w:rPr>
              <w:t>设备</w:t>
            </w:r>
            <w:r>
              <w:rPr>
                <w:rFonts w:hint="eastAsia" w:ascii="宋体" w:hAnsi="宋体" w:eastAsia="宋体" w:cs="宋体"/>
                <w:color w:val="auto"/>
                <w:spacing w:val="12"/>
                <w:sz w:val="24"/>
                <w:szCs w:val="24"/>
                <w:highlight w:val="none"/>
                <w:lang w:eastAsia="zh-CN"/>
              </w:rPr>
              <w:t>综合能力评价</w:t>
            </w:r>
          </w:p>
        </w:tc>
        <w:tc>
          <w:tcPr>
            <w:tcW w:w="894" w:type="dxa"/>
            <w:vMerge w:val="restart"/>
            <w:noWrap w:val="0"/>
            <w:vAlign w:val="center"/>
          </w:tcPr>
          <w:p w14:paraId="387F967C">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7A251B24">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质保期限长、故障响应时间短，投标人综合能力强，能很好满足招标文件要求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10.0</w:t>
            </w:r>
            <w:r>
              <w:rPr>
                <w:rFonts w:hint="eastAsia" w:ascii="宋体" w:hAnsi="宋体" w:eastAsia="宋体" w:cs="宋体"/>
                <w:color w:val="auto"/>
                <w:spacing w:val="12"/>
                <w:sz w:val="24"/>
                <w:szCs w:val="24"/>
                <w:highlight w:val="none"/>
                <w:lang w:val="en-US" w:eastAsia="zh-CN"/>
              </w:rPr>
              <w:t>分</w:t>
            </w:r>
          </w:p>
        </w:tc>
      </w:tr>
      <w:tr w14:paraId="1626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79692F20">
            <w:pPr>
              <w:jc w:val="center"/>
              <w:rPr>
                <w:rFonts w:hint="eastAsia" w:ascii="宋体" w:hAnsi="宋体" w:cs="宋体"/>
                <w:color w:val="auto"/>
                <w:kern w:val="0"/>
                <w:sz w:val="24"/>
                <w:szCs w:val="24"/>
                <w:highlight w:val="none"/>
              </w:rPr>
            </w:pPr>
          </w:p>
        </w:tc>
        <w:tc>
          <w:tcPr>
            <w:tcW w:w="1186" w:type="dxa"/>
            <w:vMerge w:val="continue"/>
            <w:noWrap w:val="0"/>
            <w:vAlign w:val="center"/>
          </w:tcPr>
          <w:p w14:paraId="1D57F648">
            <w:pPr>
              <w:jc w:val="center"/>
              <w:rPr>
                <w:rFonts w:hint="eastAsia" w:ascii="宋体" w:hAnsi="宋体" w:cs="宋体"/>
                <w:color w:val="auto"/>
                <w:kern w:val="0"/>
                <w:sz w:val="24"/>
                <w:szCs w:val="24"/>
                <w:highlight w:val="none"/>
              </w:rPr>
            </w:pPr>
          </w:p>
        </w:tc>
        <w:tc>
          <w:tcPr>
            <w:tcW w:w="2216" w:type="dxa"/>
            <w:vMerge w:val="continue"/>
            <w:noWrap w:val="0"/>
            <w:vAlign w:val="center"/>
          </w:tcPr>
          <w:p w14:paraId="66B1B75E">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57EB01C9">
            <w:pPr>
              <w:jc w:val="center"/>
              <w:rPr>
                <w:rFonts w:ascii="宋体" w:hAnsi="宋体" w:cs="宋体"/>
                <w:color w:val="auto"/>
                <w:kern w:val="0"/>
                <w:sz w:val="24"/>
                <w:szCs w:val="24"/>
                <w:highlight w:val="none"/>
              </w:rPr>
            </w:pPr>
          </w:p>
        </w:tc>
        <w:tc>
          <w:tcPr>
            <w:tcW w:w="4119" w:type="dxa"/>
            <w:noWrap w:val="0"/>
            <w:vAlign w:val="center"/>
          </w:tcPr>
          <w:p w14:paraId="7A232334">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质保期限较长、故障响应时间较短，投标人综合能力较强，能较好满足招标文件要求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4477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52F5AD38">
            <w:pPr>
              <w:jc w:val="center"/>
              <w:rPr>
                <w:rFonts w:hint="eastAsia" w:ascii="宋体" w:hAnsi="宋体" w:cs="宋体"/>
                <w:color w:val="auto"/>
                <w:kern w:val="0"/>
                <w:sz w:val="24"/>
                <w:szCs w:val="24"/>
                <w:highlight w:val="none"/>
              </w:rPr>
            </w:pPr>
          </w:p>
        </w:tc>
        <w:tc>
          <w:tcPr>
            <w:tcW w:w="1186" w:type="dxa"/>
            <w:vMerge w:val="continue"/>
            <w:noWrap w:val="0"/>
            <w:vAlign w:val="center"/>
          </w:tcPr>
          <w:p w14:paraId="1D4E9805">
            <w:pPr>
              <w:jc w:val="center"/>
              <w:rPr>
                <w:rFonts w:hint="eastAsia" w:ascii="宋体" w:hAnsi="宋体" w:cs="宋体"/>
                <w:color w:val="auto"/>
                <w:kern w:val="0"/>
                <w:sz w:val="24"/>
                <w:szCs w:val="24"/>
                <w:highlight w:val="none"/>
              </w:rPr>
            </w:pPr>
          </w:p>
        </w:tc>
        <w:tc>
          <w:tcPr>
            <w:tcW w:w="2216" w:type="dxa"/>
            <w:vMerge w:val="continue"/>
            <w:noWrap w:val="0"/>
            <w:vAlign w:val="center"/>
          </w:tcPr>
          <w:p w14:paraId="7E332973">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2AA9C64B">
            <w:pPr>
              <w:jc w:val="center"/>
              <w:rPr>
                <w:rFonts w:ascii="宋体" w:hAnsi="宋体" w:cs="宋体"/>
                <w:color w:val="auto"/>
                <w:kern w:val="0"/>
                <w:sz w:val="24"/>
                <w:szCs w:val="24"/>
                <w:highlight w:val="none"/>
              </w:rPr>
            </w:pPr>
          </w:p>
        </w:tc>
        <w:tc>
          <w:tcPr>
            <w:tcW w:w="4119" w:type="dxa"/>
            <w:noWrap w:val="0"/>
            <w:vAlign w:val="center"/>
          </w:tcPr>
          <w:p w14:paraId="25DF6A02">
            <w:pPr>
              <w:jc w:val="both"/>
              <w:rPr>
                <w:rFonts w:hint="default" w:ascii="宋体" w:hAnsi="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质保期限短、故障响应时间长，投标人综合能力一般，满足招标文件要求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76AE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59" w:type="dxa"/>
            <w:vMerge w:val="continue"/>
            <w:noWrap w:val="0"/>
            <w:vAlign w:val="center"/>
          </w:tcPr>
          <w:p w14:paraId="4445BA18">
            <w:pPr>
              <w:jc w:val="center"/>
              <w:rPr>
                <w:rFonts w:hint="eastAsia" w:ascii="宋体" w:hAnsi="宋体" w:cs="宋体"/>
                <w:color w:val="auto"/>
                <w:kern w:val="0"/>
                <w:sz w:val="24"/>
                <w:szCs w:val="24"/>
                <w:highlight w:val="none"/>
              </w:rPr>
            </w:pPr>
          </w:p>
        </w:tc>
        <w:tc>
          <w:tcPr>
            <w:tcW w:w="1186" w:type="dxa"/>
            <w:vMerge w:val="continue"/>
            <w:noWrap w:val="0"/>
            <w:vAlign w:val="center"/>
          </w:tcPr>
          <w:p w14:paraId="59A02587">
            <w:pPr>
              <w:jc w:val="center"/>
              <w:rPr>
                <w:rFonts w:hint="eastAsia" w:ascii="宋体" w:hAnsi="宋体" w:cs="宋体"/>
                <w:color w:val="auto"/>
                <w:kern w:val="0"/>
                <w:sz w:val="24"/>
                <w:szCs w:val="24"/>
                <w:highlight w:val="none"/>
              </w:rPr>
            </w:pPr>
          </w:p>
        </w:tc>
        <w:tc>
          <w:tcPr>
            <w:tcW w:w="2216" w:type="dxa"/>
            <w:vMerge w:val="restart"/>
            <w:noWrap w:val="0"/>
            <w:vAlign w:val="center"/>
          </w:tcPr>
          <w:p w14:paraId="2ABED0D8">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主要配置及技术性能指标的响应程度评价</w:t>
            </w:r>
          </w:p>
          <w:p w14:paraId="6A42DACE">
            <w:pPr>
              <w:adjustRightInd w:val="0"/>
              <w:snapToGrid w:val="0"/>
              <w:jc w:val="center"/>
              <w:rPr>
                <w:rFonts w:hint="eastAsia" w:ascii="宋体" w:hAnsi="宋体" w:eastAsia="宋体" w:cs="宋体"/>
                <w:color w:val="auto"/>
                <w:sz w:val="24"/>
                <w:szCs w:val="24"/>
                <w:highlight w:val="none"/>
              </w:rPr>
            </w:pPr>
          </w:p>
        </w:tc>
        <w:tc>
          <w:tcPr>
            <w:tcW w:w="894" w:type="dxa"/>
            <w:vMerge w:val="restart"/>
            <w:noWrap w:val="0"/>
            <w:vAlign w:val="center"/>
          </w:tcPr>
          <w:p w14:paraId="753F720B">
            <w:pPr>
              <w:jc w:val="center"/>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34F6DD37">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功能配置齐全、实用性强、主要零部件的性能参数高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10.0</w:t>
            </w:r>
            <w:r>
              <w:rPr>
                <w:rFonts w:hint="eastAsia" w:ascii="宋体" w:hAnsi="宋体" w:eastAsia="宋体" w:cs="宋体"/>
                <w:color w:val="auto"/>
                <w:spacing w:val="12"/>
                <w:sz w:val="24"/>
                <w:szCs w:val="24"/>
                <w:highlight w:val="none"/>
                <w:lang w:val="en-US" w:eastAsia="zh-CN"/>
              </w:rPr>
              <w:t>分</w:t>
            </w:r>
          </w:p>
        </w:tc>
      </w:tr>
      <w:tr w14:paraId="3EF4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959" w:type="dxa"/>
            <w:vMerge w:val="continue"/>
            <w:noWrap w:val="0"/>
            <w:vAlign w:val="center"/>
          </w:tcPr>
          <w:p w14:paraId="63B35A62">
            <w:pPr>
              <w:jc w:val="center"/>
              <w:rPr>
                <w:rFonts w:hint="eastAsia" w:ascii="宋体" w:hAnsi="宋体" w:cs="宋体"/>
                <w:color w:val="auto"/>
                <w:kern w:val="0"/>
                <w:sz w:val="24"/>
                <w:szCs w:val="24"/>
                <w:highlight w:val="none"/>
              </w:rPr>
            </w:pPr>
          </w:p>
        </w:tc>
        <w:tc>
          <w:tcPr>
            <w:tcW w:w="1186" w:type="dxa"/>
            <w:vMerge w:val="continue"/>
            <w:noWrap w:val="0"/>
            <w:vAlign w:val="center"/>
          </w:tcPr>
          <w:p w14:paraId="3E40E3EA">
            <w:pPr>
              <w:jc w:val="center"/>
              <w:rPr>
                <w:rFonts w:hint="eastAsia" w:ascii="宋体" w:hAnsi="宋体" w:cs="宋体"/>
                <w:color w:val="auto"/>
                <w:kern w:val="0"/>
                <w:sz w:val="24"/>
                <w:szCs w:val="24"/>
                <w:highlight w:val="none"/>
              </w:rPr>
            </w:pPr>
          </w:p>
        </w:tc>
        <w:tc>
          <w:tcPr>
            <w:tcW w:w="2216" w:type="dxa"/>
            <w:vMerge w:val="continue"/>
            <w:noWrap w:val="0"/>
            <w:vAlign w:val="center"/>
          </w:tcPr>
          <w:p w14:paraId="36133E06">
            <w:pPr>
              <w:jc w:val="center"/>
              <w:rPr>
                <w:rFonts w:hint="eastAsia" w:ascii="宋体" w:hAnsi="宋体" w:cs="宋体"/>
                <w:color w:val="auto"/>
                <w:sz w:val="24"/>
                <w:szCs w:val="24"/>
                <w:highlight w:val="none"/>
              </w:rPr>
            </w:pPr>
          </w:p>
        </w:tc>
        <w:tc>
          <w:tcPr>
            <w:tcW w:w="894" w:type="dxa"/>
            <w:vMerge w:val="continue"/>
            <w:noWrap w:val="0"/>
            <w:vAlign w:val="center"/>
          </w:tcPr>
          <w:p w14:paraId="6202DFE6">
            <w:pPr>
              <w:jc w:val="center"/>
              <w:rPr>
                <w:rFonts w:ascii="宋体" w:hAnsi="宋体" w:cs="宋体"/>
                <w:color w:val="auto"/>
                <w:kern w:val="0"/>
                <w:sz w:val="24"/>
                <w:szCs w:val="24"/>
                <w:highlight w:val="none"/>
                <w:u w:val="single"/>
              </w:rPr>
            </w:pPr>
          </w:p>
        </w:tc>
        <w:tc>
          <w:tcPr>
            <w:tcW w:w="4119" w:type="dxa"/>
            <w:noWrap w:val="0"/>
            <w:vAlign w:val="center"/>
          </w:tcPr>
          <w:p w14:paraId="794575F7">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功能配置较齐全、实用性较强、主要零部件的性能参数较高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7594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13F156F2">
            <w:pPr>
              <w:jc w:val="center"/>
              <w:rPr>
                <w:rFonts w:hint="eastAsia" w:ascii="宋体" w:hAnsi="宋体" w:cs="宋体"/>
                <w:color w:val="auto"/>
                <w:kern w:val="0"/>
                <w:sz w:val="24"/>
                <w:szCs w:val="24"/>
                <w:highlight w:val="none"/>
              </w:rPr>
            </w:pPr>
          </w:p>
        </w:tc>
        <w:tc>
          <w:tcPr>
            <w:tcW w:w="1186" w:type="dxa"/>
            <w:vMerge w:val="continue"/>
            <w:noWrap w:val="0"/>
            <w:vAlign w:val="center"/>
          </w:tcPr>
          <w:p w14:paraId="35700DF2">
            <w:pPr>
              <w:jc w:val="center"/>
              <w:rPr>
                <w:rFonts w:hint="eastAsia" w:ascii="宋体" w:hAnsi="宋体" w:cs="宋体"/>
                <w:color w:val="auto"/>
                <w:kern w:val="0"/>
                <w:sz w:val="24"/>
                <w:szCs w:val="24"/>
                <w:highlight w:val="none"/>
              </w:rPr>
            </w:pPr>
          </w:p>
        </w:tc>
        <w:tc>
          <w:tcPr>
            <w:tcW w:w="2216" w:type="dxa"/>
            <w:vMerge w:val="continue"/>
            <w:noWrap w:val="0"/>
            <w:vAlign w:val="center"/>
          </w:tcPr>
          <w:p w14:paraId="2437CCAB">
            <w:pPr>
              <w:jc w:val="center"/>
              <w:rPr>
                <w:rFonts w:hint="eastAsia" w:ascii="宋体" w:hAnsi="宋体" w:cs="宋体"/>
                <w:color w:val="auto"/>
                <w:sz w:val="24"/>
                <w:szCs w:val="24"/>
                <w:highlight w:val="none"/>
              </w:rPr>
            </w:pPr>
          </w:p>
        </w:tc>
        <w:tc>
          <w:tcPr>
            <w:tcW w:w="894" w:type="dxa"/>
            <w:vMerge w:val="continue"/>
            <w:noWrap w:val="0"/>
            <w:vAlign w:val="center"/>
          </w:tcPr>
          <w:p w14:paraId="07D305EC">
            <w:pPr>
              <w:jc w:val="center"/>
              <w:rPr>
                <w:rFonts w:ascii="宋体" w:hAnsi="宋体" w:cs="宋体"/>
                <w:color w:val="auto"/>
                <w:kern w:val="0"/>
                <w:sz w:val="24"/>
                <w:szCs w:val="24"/>
                <w:highlight w:val="none"/>
                <w:u w:val="single"/>
              </w:rPr>
            </w:pPr>
          </w:p>
        </w:tc>
        <w:tc>
          <w:tcPr>
            <w:tcW w:w="4119" w:type="dxa"/>
            <w:noWrap w:val="0"/>
            <w:vAlign w:val="center"/>
          </w:tcPr>
          <w:p w14:paraId="25D1D9D8">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功能配置一般、实用性一般、主要零部件的性能参数一般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09D4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7D2D92EE">
            <w:pPr>
              <w:jc w:val="center"/>
              <w:rPr>
                <w:rFonts w:hint="eastAsia" w:ascii="宋体" w:hAnsi="宋体" w:cs="宋体"/>
                <w:color w:val="auto"/>
                <w:kern w:val="0"/>
                <w:sz w:val="24"/>
                <w:szCs w:val="24"/>
                <w:highlight w:val="none"/>
              </w:rPr>
            </w:pPr>
          </w:p>
        </w:tc>
        <w:tc>
          <w:tcPr>
            <w:tcW w:w="1186" w:type="dxa"/>
            <w:vMerge w:val="continue"/>
            <w:noWrap w:val="0"/>
            <w:vAlign w:val="center"/>
          </w:tcPr>
          <w:p w14:paraId="514F03F7">
            <w:pPr>
              <w:jc w:val="center"/>
              <w:rPr>
                <w:rFonts w:hint="eastAsia" w:ascii="宋体" w:hAnsi="宋体" w:cs="宋体"/>
                <w:color w:val="auto"/>
                <w:kern w:val="0"/>
                <w:sz w:val="24"/>
                <w:szCs w:val="24"/>
                <w:highlight w:val="none"/>
              </w:rPr>
            </w:pPr>
          </w:p>
        </w:tc>
        <w:tc>
          <w:tcPr>
            <w:tcW w:w="2216" w:type="dxa"/>
            <w:vMerge w:val="restart"/>
            <w:noWrap w:val="0"/>
            <w:vAlign w:val="center"/>
          </w:tcPr>
          <w:p w14:paraId="20EE0A5D">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交货期服务方案及服务能力评价</w:t>
            </w:r>
          </w:p>
        </w:tc>
        <w:tc>
          <w:tcPr>
            <w:tcW w:w="894" w:type="dxa"/>
            <w:vMerge w:val="restart"/>
            <w:noWrap w:val="0"/>
            <w:vAlign w:val="center"/>
          </w:tcPr>
          <w:p w14:paraId="2E32C16C">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4CAC7C1A">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配送及时、安全可靠、有良好的相关配套增值服务方案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1B2D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1F041DDA">
            <w:pPr>
              <w:jc w:val="center"/>
              <w:rPr>
                <w:rFonts w:hint="eastAsia" w:ascii="宋体" w:hAnsi="宋体" w:cs="宋体"/>
                <w:color w:val="auto"/>
                <w:kern w:val="0"/>
                <w:sz w:val="24"/>
                <w:szCs w:val="24"/>
                <w:highlight w:val="none"/>
              </w:rPr>
            </w:pPr>
          </w:p>
        </w:tc>
        <w:tc>
          <w:tcPr>
            <w:tcW w:w="1186" w:type="dxa"/>
            <w:vMerge w:val="continue"/>
            <w:noWrap w:val="0"/>
            <w:vAlign w:val="center"/>
          </w:tcPr>
          <w:p w14:paraId="413ACDD0">
            <w:pPr>
              <w:jc w:val="center"/>
              <w:rPr>
                <w:rFonts w:hint="eastAsia" w:ascii="宋体" w:hAnsi="宋体" w:cs="宋体"/>
                <w:color w:val="auto"/>
                <w:kern w:val="0"/>
                <w:sz w:val="24"/>
                <w:szCs w:val="24"/>
                <w:highlight w:val="none"/>
              </w:rPr>
            </w:pPr>
          </w:p>
        </w:tc>
        <w:tc>
          <w:tcPr>
            <w:tcW w:w="2216" w:type="dxa"/>
            <w:vMerge w:val="continue"/>
            <w:noWrap w:val="0"/>
            <w:vAlign w:val="center"/>
          </w:tcPr>
          <w:p w14:paraId="7CBFE863">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4903743E">
            <w:pPr>
              <w:ind w:right="113"/>
              <w:jc w:val="left"/>
              <w:rPr>
                <w:rFonts w:hint="eastAsia" w:ascii="宋体" w:hAnsi="宋体" w:eastAsia="宋体" w:cs="宋体"/>
                <w:color w:val="auto"/>
                <w:sz w:val="24"/>
                <w:szCs w:val="24"/>
                <w:highlight w:val="none"/>
              </w:rPr>
            </w:pPr>
          </w:p>
        </w:tc>
        <w:tc>
          <w:tcPr>
            <w:tcW w:w="4119" w:type="dxa"/>
            <w:noWrap w:val="0"/>
            <w:vAlign w:val="center"/>
          </w:tcPr>
          <w:p w14:paraId="230C01C8">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配送较及时、较安全可靠、有较好的相关配套增值服务方案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.0分</w:t>
            </w:r>
          </w:p>
        </w:tc>
      </w:tr>
      <w:tr w14:paraId="554F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3056CDE1">
            <w:pPr>
              <w:jc w:val="center"/>
              <w:rPr>
                <w:rFonts w:hint="eastAsia" w:ascii="宋体" w:hAnsi="宋体" w:cs="宋体"/>
                <w:color w:val="auto"/>
                <w:kern w:val="0"/>
                <w:sz w:val="24"/>
                <w:szCs w:val="24"/>
                <w:highlight w:val="none"/>
              </w:rPr>
            </w:pPr>
          </w:p>
        </w:tc>
        <w:tc>
          <w:tcPr>
            <w:tcW w:w="1186" w:type="dxa"/>
            <w:vMerge w:val="continue"/>
            <w:noWrap w:val="0"/>
            <w:vAlign w:val="center"/>
          </w:tcPr>
          <w:p w14:paraId="389FEA35">
            <w:pPr>
              <w:jc w:val="center"/>
              <w:rPr>
                <w:rFonts w:hint="eastAsia" w:ascii="宋体" w:hAnsi="宋体" w:cs="宋体"/>
                <w:color w:val="auto"/>
                <w:kern w:val="0"/>
                <w:sz w:val="24"/>
                <w:szCs w:val="24"/>
                <w:highlight w:val="none"/>
              </w:rPr>
            </w:pPr>
          </w:p>
        </w:tc>
        <w:tc>
          <w:tcPr>
            <w:tcW w:w="2216" w:type="dxa"/>
            <w:vMerge w:val="continue"/>
            <w:noWrap w:val="0"/>
            <w:vAlign w:val="center"/>
          </w:tcPr>
          <w:p w14:paraId="07989B54">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2479B0C2">
            <w:pPr>
              <w:ind w:right="113"/>
              <w:jc w:val="left"/>
              <w:rPr>
                <w:rFonts w:hint="eastAsia" w:ascii="宋体" w:hAnsi="宋体" w:eastAsia="宋体" w:cs="宋体"/>
                <w:color w:val="auto"/>
                <w:sz w:val="24"/>
                <w:szCs w:val="24"/>
                <w:highlight w:val="none"/>
              </w:rPr>
            </w:pPr>
          </w:p>
        </w:tc>
        <w:tc>
          <w:tcPr>
            <w:tcW w:w="4119" w:type="dxa"/>
            <w:noWrap w:val="0"/>
            <w:vAlign w:val="center"/>
          </w:tcPr>
          <w:p w14:paraId="74BDD632">
            <w:pPr>
              <w:jc w:val="both"/>
              <w:rPr>
                <w:rFonts w:hint="default" w:ascii="宋体" w:hAnsi="宋体" w:eastAsia="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配送时效性一般、安全可靠性一般、相关配套增值服务方案一般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5923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59" w:type="dxa"/>
            <w:vMerge w:val="continue"/>
            <w:noWrap w:val="0"/>
            <w:vAlign w:val="center"/>
          </w:tcPr>
          <w:p w14:paraId="607C20BF">
            <w:pPr>
              <w:jc w:val="center"/>
              <w:rPr>
                <w:rFonts w:hint="eastAsia" w:ascii="宋体" w:hAnsi="宋体" w:cs="宋体"/>
                <w:color w:val="auto"/>
                <w:kern w:val="0"/>
                <w:sz w:val="24"/>
                <w:szCs w:val="24"/>
                <w:highlight w:val="none"/>
              </w:rPr>
            </w:pPr>
          </w:p>
        </w:tc>
        <w:tc>
          <w:tcPr>
            <w:tcW w:w="1186" w:type="dxa"/>
            <w:vMerge w:val="continue"/>
            <w:noWrap w:val="0"/>
            <w:vAlign w:val="center"/>
          </w:tcPr>
          <w:p w14:paraId="337702F3">
            <w:pPr>
              <w:jc w:val="center"/>
              <w:rPr>
                <w:rFonts w:hint="eastAsia" w:ascii="宋体" w:hAnsi="宋体" w:cs="宋体"/>
                <w:color w:val="auto"/>
                <w:kern w:val="0"/>
                <w:sz w:val="24"/>
                <w:szCs w:val="24"/>
                <w:highlight w:val="none"/>
              </w:rPr>
            </w:pPr>
          </w:p>
        </w:tc>
        <w:tc>
          <w:tcPr>
            <w:tcW w:w="2216" w:type="dxa"/>
            <w:vMerge w:val="restart"/>
            <w:noWrap w:val="0"/>
            <w:vAlign w:val="center"/>
          </w:tcPr>
          <w:p w14:paraId="6157DD8B">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技术服务和质保期服务能力的评价</w:t>
            </w:r>
          </w:p>
        </w:tc>
        <w:tc>
          <w:tcPr>
            <w:tcW w:w="894" w:type="dxa"/>
            <w:vMerge w:val="restart"/>
            <w:noWrap w:val="0"/>
            <w:vAlign w:val="center"/>
          </w:tcPr>
          <w:p w14:paraId="476CBD90">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4F4BB352">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技术服务能力、维保能力强，有良好的保养检测等售后服务</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6793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959" w:type="dxa"/>
            <w:vMerge w:val="continue"/>
            <w:noWrap w:val="0"/>
            <w:vAlign w:val="center"/>
          </w:tcPr>
          <w:p w14:paraId="5E5D5DAE">
            <w:pPr>
              <w:jc w:val="center"/>
              <w:rPr>
                <w:rFonts w:hint="eastAsia" w:ascii="宋体" w:hAnsi="宋体" w:cs="宋体"/>
                <w:color w:val="auto"/>
                <w:kern w:val="0"/>
                <w:sz w:val="24"/>
                <w:szCs w:val="24"/>
                <w:highlight w:val="none"/>
              </w:rPr>
            </w:pPr>
          </w:p>
        </w:tc>
        <w:tc>
          <w:tcPr>
            <w:tcW w:w="1186" w:type="dxa"/>
            <w:vMerge w:val="continue"/>
            <w:noWrap w:val="0"/>
            <w:vAlign w:val="center"/>
          </w:tcPr>
          <w:p w14:paraId="0CB006EB">
            <w:pPr>
              <w:jc w:val="center"/>
              <w:rPr>
                <w:rFonts w:hint="eastAsia" w:ascii="宋体" w:hAnsi="宋体" w:cs="宋体"/>
                <w:color w:val="auto"/>
                <w:kern w:val="0"/>
                <w:sz w:val="24"/>
                <w:szCs w:val="24"/>
                <w:highlight w:val="none"/>
              </w:rPr>
            </w:pPr>
          </w:p>
        </w:tc>
        <w:tc>
          <w:tcPr>
            <w:tcW w:w="2216" w:type="dxa"/>
            <w:vMerge w:val="continue"/>
            <w:noWrap w:val="0"/>
            <w:vAlign w:val="center"/>
          </w:tcPr>
          <w:p w14:paraId="2C954C99">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477EA7EF">
            <w:pPr>
              <w:ind w:right="113"/>
              <w:jc w:val="left"/>
              <w:rPr>
                <w:rFonts w:hint="eastAsia" w:ascii="宋体" w:hAnsi="宋体" w:eastAsia="宋体" w:cs="宋体"/>
                <w:color w:val="auto"/>
                <w:sz w:val="24"/>
                <w:szCs w:val="24"/>
                <w:highlight w:val="none"/>
              </w:rPr>
            </w:pPr>
          </w:p>
        </w:tc>
        <w:tc>
          <w:tcPr>
            <w:tcW w:w="4119" w:type="dxa"/>
            <w:noWrap w:val="0"/>
            <w:vAlign w:val="center"/>
          </w:tcPr>
          <w:p w14:paraId="11F60778">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技术服务能力、维保能力较强，有较好的保养检测等售后服务</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w:t>
            </w:r>
            <w:r>
              <w:rPr>
                <w:rFonts w:hint="eastAsia" w:ascii="宋体" w:hAnsi="宋体" w:cs="宋体"/>
                <w:color w:val="auto"/>
                <w:spacing w:val="12"/>
                <w:sz w:val="24"/>
                <w:szCs w:val="24"/>
                <w:highlight w:val="none"/>
                <w:lang w:val="en-US" w:eastAsia="zh-CN"/>
              </w:rPr>
              <w:t>0-4</w:t>
            </w:r>
            <w:r>
              <w:rPr>
                <w:rFonts w:hint="eastAsia" w:ascii="宋体" w:hAnsi="宋体" w:eastAsia="宋体" w:cs="宋体"/>
                <w:color w:val="auto"/>
                <w:spacing w:val="12"/>
                <w:sz w:val="24"/>
                <w:szCs w:val="24"/>
                <w:highlight w:val="none"/>
                <w:lang w:val="en-US" w:eastAsia="zh-CN"/>
              </w:rPr>
              <w:t>.0分</w:t>
            </w:r>
          </w:p>
        </w:tc>
      </w:tr>
      <w:tr w14:paraId="6253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59" w:type="dxa"/>
            <w:vMerge w:val="continue"/>
            <w:noWrap w:val="0"/>
            <w:vAlign w:val="center"/>
          </w:tcPr>
          <w:p w14:paraId="66581917">
            <w:pPr>
              <w:jc w:val="center"/>
              <w:rPr>
                <w:rFonts w:hint="eastAsia" w:ascii="宋体" w:hAnsi="宋体" w:cs="宋体"/>
                <w:color w:val="auto"/>
                <w:kern w:val="0"/>
                <w:sz w:val="24"/>
                <w:szCs w:val="24"/>
                <w:highlight w:val="none"/>
              </w:rPr>
            </w:pPr>
          </w:p>
        </w:tc>
        <w:tc>
          <w:tcPr>
            <w:tcW w:w="1186" w:type="dxa"/>
            <w:vMerge w:val="continue"/>
            <w:noWrap w:val="0"/>
            <w:vAlign w:val="center"/>
          </w:tcPr>
          <w:p w14:paraId="18102CAC">
            <w:pPr>
              <w:jc w:val="center"/>
              <w:rPr>
                <w:rFonts w:hint="eastAsia" w:ascii="宋体" w:hAnsi="宋体" w:cs="宋体"/>
                <w:color w:val="auto"/>
                <w:kern w:val="0"/>
                <w:sz w:val="24"/>
                <w:szCs w:val="24"/>
                <w:highlight w:val="none"/>
              </w:rPr>
            </w:pPr>
          </w:p>
        </w:tc>
        <w:tc>
          <w:tcPr>
            <w:tcW w:w="2216" w:type="dxa"/>
            <w:vMerge w:val="continue"/>
            <w:noWrap w:val="0"/>
            <w:vAlign w:val="center"/>
          </w:tcPr>
          <w:p w14:paraId="440EA489">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33F3C0AD">
            <w:pPr>
              <w:ind w:right="113"/>
              <w:jc w:val="left"/>
              <w:rPr>
                <w:rFonts w:hint="eastAsia" w:ascii="宋体" w:hAnsi="宋体" w:eastAsia="宋体" w:cs="宋体"/>
                <w:color w:val="auto"/>
                <w:sz w:val="24"/>
                <w:szCs w:val="24"/>
                <w:highlight w:val="none"/>
              </w:rPr>
            </w:pPr>
          </w:p>
        </w:tc>
        <w:tc>
          <w:tcPr>
            <w:tcW w:w="4119" w:type="dxa"/>
            <w:noWrap w:val="0"/>
            <w:vAlign w:val="center"/>
          </w:tcPr>
          <w:p w14:paraId="372A8D25">
            <w:pPr>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技术服务能力、维保能力一般，保养检测等售后服务一般</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40A4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noWrap w:val="0"/>
            <w:vAlign w:val="center"/>
          </w:tcPr>
          <w:p w14:paraId="3BA42AFA">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7A92E8B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noWrap w:val="0"/>
            <w:vAlign w:val="center"/>
          </w:tcPr>
          <w:p w14:paraId="03F3E7DB">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noWrap w:val="0"/>
            <w:vAlign w:val="center"/>
          </w:tcPr>
          <w:p w14:paraId="6A59FF88">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r w14:paraId="6B48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453F53EC">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726C005">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w:t>
            </w:r>
          </w:p>
        </w:tc>
        <w:tc>
          <w:tcPr>
            <w:tcW w:w="1186" w:type="dxa"/>
            <w:tcBorders>
              <w:bottom w:val="single" w:color="auto" w:sz="4" w:space="0"/>
            </w:tcBorders>
            <w:noWrap w:val="0"/>
            <w:vAlign w:val="center"/>
          </w:tcPr>
          <w:p w14:paraId="34C8F146">
            <w:pPr>
              <w:ind w:left="144" w:hanging="144" w:hangingChars="60"/>
              <w:jc w:val="both"/>
              <w:rPr>
                <w:rFonts w:hint="eastAsia" w:ascii="宋体" w:hAnsi="宋体" w:cs="宋体"/>
                <w:color w:val="auto"/>
                <w:kern w:val="0"/>
                <w:sz w:val="24"/>
                <w:szCs w:val="24"/>
                <w:highlight w:val="none"/>
              </w:rPr>
            </w:pPr>
            <w:r>
              <w:rPr>
                <w:rFonts w:hint="eastAsia" w:ascii="宋体" w:hAnsi="宋体" w:eastAsia="宋体" w:cs="宋体"/>
                <w:color w:val="auto"/>
                <w:sz w:val="24"/>
                <w:szCs w:val="24"/>
                <w:highlight w:val="none"/>
                <w:lang w:eastAsia="zh-CN"/>
              </w:rPr>
              <w:t>投标报价</w:t>
            </w:r>
            <w:r>
              <w:rPr>
                <w:rFonts w:hint="eastAsia" w:ascii="宋体" w:hAnsi="宋体" w:cs="宋体"/>
                <w:color w:val="auto"/>
                <w:kern w:val="0"/>
                <w:sz w:val="24"/>
                <w:szCs w:val="24"/>
                <w:highlight w:val="none"/>
                <w:lang w:val="en-US" w:eastAsia="zh-CN"/>
              </w:rPr>
              <w:t>(50分）</w:t>
            </w:r>
          </w:p>
          <w:p w14:paraId="79CC06EB">
            <w:pPr>
              <w:ind w:left="144" w:hanging="144" w:hangingChars="60"/>
              <w:jc w:val="center"/>
              <w:rPr>
                <w:rFonts w:hint="eastAsia" w:ascii="宋体" w:hAnsi="宋体" w:cs="宋体"/>
                <w:color w:val="auto"/>
                <w:kern w:val="0"/>
                <w:sz w:val="24"/>
                <w:szCs w:val="24"/>
                <w:highlight w:val="none"/>
              </w:rPr>
            </w:pPr>
          </w:p>
        </w:tc>
        <w:tc>
          <w:tcPr>
            <w:tcW w:w="7229" w:type="dxa"/>
            <w:gridSpan w:val="3"/>
            <w:tcBorders>
              <w:bottom w:val="single" w:color="auto" w:sz="4" w:space="0"/>
            </w:tcBorders>
            <w:noWrap w:val="0"/>
            <w:vAlign w:val="center"/>
          </w:tcPr>
          <w:p w14:paraId="5DF803AC">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评标报价得分计算公式：</w:t>
            </w:r>
          </w:p>
          <w:p w14:paraId="25C8B8DB">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(1)如果投标人的有效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报价＞评标基准价，则</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-偏差率×100×E1；</w:t>
            </w:r>
          </w:p>
          <w:p w14:paraId="7E83F264">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(2)如果投标人的有效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报价≤评标基准价，则</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+偏差率×100×E2。</w:t>
            </w:r>
          </w:p>
          <w:p w14:paraId="2719C9D9">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0D8F0AE2">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报价每高于评标基准价一个百分点的扣分值，E1＝0.</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p>
          <w:p w14:paraId="0847C05B">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报价每低于评标基准价一个百分点的扣分值，E2＝0.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p>
          <w:p w14:paraId="1CA2FFCE">
            <w:pPr>
              <w:jc w:val="both"/>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价最低得分为0分。</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报价得分保留小数点后两位，小数点后第三位“四舍五入”。</w:t>
            </w:r>
          </w:p>
        </w:tc>
      </w:tr>
    </w:tbl>
    <w:p w14:paraId="328B1410">
      <w:pPr>
        <w:pStyle w:val="7"/>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27B3DE85">
      <w:pPr>
        <w:pStyle w:val="7"/>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B6AAB2A">
      <w:pPr>
        <w:pStyle w:val="7"/>
        <w:adjustRightInd w:val="0"/>
        <w:snapToGrid w:val="0"/>
        <w:spacing w:line="360" w:lineRule="auto"/>
        <w:jc w:val="left"/>
        <w:textAlignment w:val="baseline"/>
      </w:pPr>
      <w:r>
        <w:rPr>
          <w:rFonts w:hAnsi="宋体"/>
          <w:snapToGrid w:val="0"/>
          <w:color w:val="auto"/>
          <w:kern w:val="0"/>
          <w:sz w:val="24"/>
          <w:szCs w:val="24"/>
          <w:highlight w:val="none"/>
        </w:rPr>
        <w:t>2、</w:t>
      </w:r>
      <w:r>
        <w:rPr>
          <w:rFonts w:hint="eastAsia" w:hAnsi="宋体"/>
          <w:snapToGrid w:val="0"/>
          <w:color w:val="auto"/>
          <w:kern w:val="0"/>
          <w:sz w:val="24"/>
          <w:szCs w:val="24"/>
          <w:highlight w:val="none"/>
          <w:lang w:val="zh-CN"/>
        </w:rPr>
        <w:t>评标委员会成员对某一项评分因素</w:t>
      </w:r>
      <w:r>
        <w:rPr>
          <w:rFonts w:hint="eastAsia" w:hAnsi="宋体"/>
          <w:snapToGrid w:val="0"/>
          <w:color w:val="auto"/>
          <w:kern w:val="0"/>
          <w:sz w:val="24"/>
          <w:szCs w:val="24"/>
          <w:highlight w:val="none"/>
          <w:lang w:val="en-US" w:eastAsia="zh-CN"/>
        </w:rPr>
        <w:t>细项</w:t>
      </w:r>
      <w:r>
        <w:rPr>
          <w:rFonts w:hint="eastAsia" w:hAnsi="宋体"/>
          <w:snapToGrid w:val="0"/>
          <w:color w:val="auto"/>
          <w:kern w:val="0"/>
          <w:sz w:val="24"/>
          <w:szCs w:val="24"/>
          <w:highlight w:val="none"/>
          <w:lang w:val="zh-CN"/>
        </w:rPr>
        <w:t>的评分低于权重分值 60%的，应在评标报告中作出说明。评审因素</w:t>
      </w:r>
      <w:r>
        <w:rPr>
          <w:rFonts w:hint="eastAsia" w:hAnsi="宋体"/>
          <w:snapToGrid w:val="0"/>
          <w:color w:val="auto"/>
          <w:kern w:val="0"/>
          <w:sz w:val="24"/>
          <w:szCs w:val="24"/>
          <w:highlight w:val="none"/>
          <w:lang w:val="en-US" w:eastAsia="zh-CN"/>
        </w:rPr>
        <w:t>细项</w:t>
      </w:r>
      <w:r>
        <w:rPr>
          <w:rFonts w:hint="eastAsia" w:hAnsi="宋体"/>
          <w:snapToGrid w:val="0"/>
          <w:color w:val="auto"/>
          <w:kern w:val="0"/>
          <w:sz w:val="24"/>
          <w:szCs w:val="24"/>
          <w:highlight w:val="none"/>
          <w:lang w:val="zh-CN"/>
        </w:rPr>
        <w:t>缺项则该项得0分。</w:t>
      </w:r>
      <w:bookmarkStart w:id="19" w:name="_GoBack"/>
      <w:bookmarkEnd w:id="19"/>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82BA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F8410"/>
    <w:multiLevelType w:val="singleLevel"/>
    <w:tmpl w:val="910F8410"/>
    <w:lvl w:ilvl="0" w:tentative="0">
      <w:start w:val="1"/>
      <w:numFmt w:val="decimal"/>
      <w:pStyle w:val="8"/>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E34489"/>
    <w:rsid w:val="41E34489"/>
    <w:rsid w:val="71AA505C"/>
    <w:rsid w:val="73A30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3"/>
    <w:basedOn w:val="1"/>
    <w:next w:val="1"/>
    <w:qFormat/>
    <w:uiPriority w:val="9"/>
    <w:pPr>
      <w:keepNext/>
      <w:keepLines/>
      <w:spacing w:before="50" w:beforeLines="50" w:line="415" w:lineRule="auto"/>
      <w:outlineLvl w:val="2"/>
    </w:pPr>
    <w:rPr>
      <w:b/>
      <w:bCs/>
      <w:sz w:val="32"/>
      <w:szCs w:val="32"/>
    </w:rPr>
  </w:style>
  <w:style w:type="paragraph" w:styleId="4">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00"/>
      <w:jc w:val="left"/>
    </w:pPr>
    <w:rPr>
      <w:rFonts w:ascii="宋体" w:hAnsi="宋体" w:cs="Times New Roman"/>
      <w:kern w:val="0"/>
      <w:szCs w:val="21"/>
      <w:lang w:eastAsia="en-US"/>
    </w:rPr>
  </w:style>
  <w:style w:type="paragraph" w:styleId="5">
    <w:name w:val="toa heading"/>
    <w:basedOn w:val="1"/>
    <w:next w:val="1"/>
    <w:unhideWhenUsed/>
    <w:qFormat/>
    <w:uiPriority w:val="99"/>
    <w:pPr>
      <w:spacing w:before="120"/>
      <w:ind w:firstLine="560" w:firstLineChars="200"/>
    </w:pPr>
    <w:rPr>
      <w:rFonts w:ascii="Cambria" w:hAnsi="Cambria"/>
      <w:szCs w:val="24"/>
    </w:rPr>
  </w:style>
  <w:style w:type="paragraph" w:styleId="6">
    <w:name w:val="Body Text Indent"/>
    <w:basedOn w:val="1"/>
    <w:unhideWhenUsed/>
    <w:qFormat/>
    <w:uiPriority w:val="99"/>
    <w:pPr>
      <w:spacing w:after="120"/>
      <w:ind w:left="420" w:leftChars="200"/>
    </w:pPr>
  </w:style>
  <w:style w:type="paragraph" w:styleId="7">
    <w:name w:val="Plain Text"/>
    <w:basedOn w:val="1"/>
    <w:next w:val="8"/>
    <w:qFormat/>
    <w:uiPriority w:val="0"/>
    <w:rPr>
      <w:rFonts w:ascii="宋体" w:hAnsi="Courier New"/>
      <w:szCs w:val="20"/>
    </w:rPr>
  </w:style>
  <w:style w:type="paragraph" w:styleId="8">
    <w:name w:val="List Number 5"/>
    <w:basedOn w:val="1"/>
    <w:uiPriority w:val="0"/>
    <w:pPr>
      <w:numPr>
        <w:ilvl w:val="0"/>
        <w:numId w:val="1"/>
      </w:numPr>
    </w:p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Body Text First Indent 2"/>
    <w:basedOn w:val="6"/>
    <w:unhideWhenUsed/>
    <w:qFormat/>
    <w:uiPriority w:val="99"/>
    <w:pPr>
      <w:tabs>
        <w:tab w:val="left" w:pos="5580"/>
      </w:tabs>
      <w:ind w:left="420" w:leftChars="200" w:firstLine="420"/>
    </w:pPr>
    <w:rPr>
      <w:rFonts w:ascii="Times New Roman" w:hAnsi="Times New Roman"/>
      <w:sz w:val="21"/>
    </w:rPr>
  </w:style>
  <w:style w:type="paragraph" w:customStyle="1" w:styleId="14">
    <w:name w:val="1正文"/>
    <w:basedOn w:val="1"/>
    <w:autoRedefine/>
    <w:qFormat/>
    <w:uiPriority w:val="0"/>
    <w:pPr>
      <w:ind w:firstLine="480"/>
    </w:pPr>
    <w:rPr>
      <w:rFonts w:cs="宋体"/>
      <w:szCs w:val="24"/>
    </w:rPr>
  </w:style>
  <w:style w:type="paragraph" w:customStyle="1" w:styleId="15">
    <w:name w:val="大标题"/>
    <w:basedOn w:val="1"/>
    <w:next w:val="11"/>
    <w:autoRedefine/>
    <w:qFormat/>
    <w:uiPriority w:val="0"/>
    <w:pPr>
      <w:jc w:val="center"/>
    </w:pPr>
    <w:rPr>
      <w:rFonts w:ascii="Arial" w:hAnsi="Arial"/>
      <w:b/>
      <w:sz w:val="28"/>
    </w:rPr>
  </w:style>
  <w:style w:type="character" w:customStyle="1" w:styleId="16">
    <w:name w:val="NormalCharacter"/>
    <w:link w:val="17"/>
    <w:autoRedefine/>
    <w:qFormat/>
    <w:uiPriority w:val="0"/>
    <w:rPr>
      <w:kern w:val="0"/>
      <w:sz w:val="20"/>
      <w:szCs w:val="20"/>
    </w:rPr>
  </w:style>
  <w:style w:type="paragraph" w:customStyle="1" w:styleId="17">
    <w:name w:val="UserStyle_24"/>
    <w:basedOn w:val="1"/>
    <w:link w:val="16"/>
    <w:autoRedefine/>
    <w:qFormat/>
    <w:uiPriority w:val="0"/>
    <w:pPr>
      <w:widowControl/>
      <w:spacing w:line="360" w:lineRule="auto"/>
      <w:ind w:firstLine="20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2512</Words>
  <Characters>2907</Characters>
  <Lines>0</Lines>
  <Paragraphs>0</Paragraphs>
  <TotalTime>0</TotalTime>
  <ScaleCrop>false</ScaleCrop>
  <LinksUpToDate>false</LinksUpToDate>
  <CharactersWithSpaces>3013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2026-03-03T02:09:00Z</dcterms:created>
  <dc:creator>鲁鹏</dc:creator>
  <cp:lastModifiedBy>李娜</cp:lastModifiedBy>
  <dcterms:modified xsi:type="dcterms:W3CDTF">2026-03-03T03:58:08Z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82217FC2AB254A42A58091A74B9B6B4C_11</vt:lpwstr>
  </property>
  <property fmtid="{D5CDD505-2E9C-101B-9397-08002B2CF9AE}" pid="4" name="KSOTemplateDocerSaveRecord">
    <vt:lpwstr>eyJoZGlkIjoiOWYyZDYxNTJjZmI2NmVkYTMyOWVjMGFiZjEzZGM5NjgiLCJ1c2VySWQiOiIxNTI1NDExOTAzIn0=</vt:lpwstr>
  </property>
</Properties>
</file>