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CC892">
      <w:pPr>
        <w:pStyle w:val="6"/>
        <w:snapToGrid w:val="0"/>
        <w:spacing w:beforeLines="50" w:afterLines="50" w:line="240" w:lineRule="auto"/>
        <w:rPr>
          <w:highlight w:val="none"/>
        </w:rPr>
      </w:pPr>
      <w:bookmarkStart w:id="0" w:name="_Toc141780406"/>
      <w:r>
        <w:rPr>
          <w:rFonts w:hint="eastAsia" w:ascii="宋体" w:hAnsi="宋体"/>
          <w:sz w:val="24"/>
          <w:szCs w:val="24"/>
          <w:highlight w:val="none"/>
        </w:rPr>
        <w:t>附件</w:t>
      </w:r>
      <w:r>
        <w:rPr>
          <w:rFonts w:ascii="宋体" w:hAnsi="宋体"/>
          <w:sz w:val="24"/>
          <w:szCs w:val="24"/>
          <w:highlight w:val="none"/>
        </w:rPr>
        <w:t>1</w:t>
      </w:r>
      <w:r>
        <w:rPr>
          <w:rFonts w:hint="eastAsia" w:ascii="宋体" w:hAnsi="宋体"/>
          <w:sz w:val="24"/>
          <w:szCs w:val="24"/>
          <w:highlight w:val="none"/>
        </w:rPr>
        <w:t>：资格审查条件</w:t>
      </w:r>
      <w:bookmarkEnd w:id="0"/>
    </w:p>
    <w:p w14:paraId="1B93FC32">
      <w:pPr>
        <w:jc w:val="center"/>
        <w:rPr>
          <w:rFonts w:ascii="宋体" w:hAnsi="宋体"/>
          <w:b/>
          <w:sz w:val="24"/>
          <w:szCs w:val="24"/>
          <w:highlight w:val="none"/>
        </w:rPr>
      </w:pPr>
      <w:r>
        <w:rPr>
          <w:rFonts w:hint="eastAsia" w:ascii="宋体" w:hAnsi="宋体"/>
          <w:b/>
          <w:sz w:val="24"/>
          <w:szCs w:val="24"/>
          <w:highlight w:val="none"/>
        </w:rPr>
        <w:t>附录1  资格审查条件（资质最低要求）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FF2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2CE4B995">
            <w:pPr>
              <w:jc w:val="center"/>
              <w:rPr>
                <w:rFonts w:ascii="宋体" w:hAnsi="宋体"/>
                <w:szCs w:val="21"/>
                <w:highlight w:val="none"/>
              </w:rPr>
            </w:pPr>
            <w:r>
              <w:rPr>
                <w:rFonts w:hint="eastAsia" w:ascii="宋体" w:hAnsi="宋体"/>
                <w:szCs w:val="21"/>
                <w:highlight w:val="none"/>
              </w:rPr>
              <w:t>资质等级要求</w:t>
            </w:r>
          </w:p>
        </w:tc>
      </w:tr>
      <w:tr w14:paraId="01A1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8642" w:type="dxa"/>
            <w:vAlign w:val="center"/>
          </w:tcPr>
          <w:p w14:paraId="5C9E7B71">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1.为中华人民共和国境内注册的独立法人或合伙制企业，持有有效的</w:t>
            </w:r>
            <w:r>
              <w:rPr>
                <w:rFonts w:hint="eastAsia" w:ascii="宋体" w:hAnsi="宋体" w:cs="宋体"/>
                <w:sz w:val="21"/>
                <w:szCs w:val="21"/>
                <w:highlight w:val="none"/>
                <w:lang w:val="en-US" w:eastAsia="zh-CN"/>
              </w:rPr>
              <w:t>法人</w:t>
            </w:r>
            <w:r>
              <w:rPr>
                <w:rFonts w:hint="eastAsia" w:ascii="宋体" w:hAnsi="宋体" w:eastAsia="宋体" w:cs="宋体"/>
                <w:sz w:val="21"/>
                <w:szCs w:val="21"/>
                <w:highlight w:val="none"/>
              </w:rPr>
              <w:t>营业执照。</w:t>
            </w:r>
          </w:p>
          <w:p w14:paraId="26A5EA49">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2.具备会计师事务所执业证书。</w:t>
            </w:r>
          </w:p>
          <w:p w14:paraId="6B32C97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highlight w:val="none"/>
              </w:rPr>
            </w:pPr>
            <w:r>
              <w:rPr>
                <w:rFonts w:hint="eastAsia" w:ascii="宋体" w:hAnsi="宋体" w:eastAsia="宋体" w:cs="宋体"/>
                <w:sz w:val="21"/>
                <w:szCs w:val="21"/>
                <w:highlight w:val="none"/>
              </w:rPr>
              <w:t>注：以联合体形式投标的，联合体所有成员均需满足第1项要求</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联合体牵头人</w:t>
            </w:r>
            <w:r>
              <w:rPr>
                <w:rFonts w:hint="eastAsia" w:ascii="宋体" w:hAnsi="宋体" w:cs="宋体"/>
                <w:sz w:val="21"/>
                <w:szCs w:val="21"/>
                <w:highlight w:val="none"/>
                <w:lang w:eastAsia="zh-CN"/>
              </w:rPr>
              <w:t>需</w:t>
            </w:r>
            <w:r>
              <w:rPr>
                <w:rFonts w:hint="eastAsia" w:ascii="宋体" w:hAnsi="宋体" w:eastAsia="宋体" w:cs="宋体"/>
                <w:sz w:val="21"/>
                <w:szCs w:val="21"/>
                <w:highlight w:val="none"/>
              </w:rPr>
              <w:t>满足第</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项要求。</w:t>
            </w:r>
          </w:p>
        </w:tc>
      </w:tr>
    </w:tbl>
    <w:p w14:paraId="1793AC55">
      <w:pPr>
        <w:rPr>
          <w:rFonts w:ascii="宋体" w:hAnsi="宋体"/>
          <w:sz w:val="24"/>
          <w:szCs w:val="24"/>
          <w:highlight w:val="none"/>
        </w:rPr>
      </w:pPr>
    </w:p>
    <w:p w14:paraId="434DD92E">
      <w:pPr>
        <w:jc w:val="center"/>
        <w:rPr>
          <w:rFonts w:ascii="宋体" w:hAnsi="宋体"/>
          <w:b/>
          <w:sz w:val="24"/>
          <w:szCs w:val="24"/>
          <w:highlight w:val="none"/>
        </w:rPr>
      </w:pPr>
      <w:r>
        <w:rPr>
          <w:rFonts w:hint="eastAsia" w:ascii="宋体" w:hAnsi="宋体"/>
          <w:b/>
          <w:sz w:val="24"/>
          <w:szCs w:val="24"/>
          <w:highlight w:val="none"/>
        </w:rPr>
        <w:t>附录2  资格审查条件（业绩最低要求）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7F6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34A489B">
            <w:pPr>
              <w:jc w:val="center"/>
              <w:rPr>
                <w:rFonts w:ascii="宋体" w:hAnsi="宋体"/>
                <w:szCs w:val="21"/>
                <w:highlight w:val="none"/>
              </w:rPr>
            </w:pPr>
            <w:r>
              <w:rPr>
                <w:rFonts w:hint="eastAsia" w:ascii="宋体" w:hAnsi="宋体"/>
                <w:szCs w:val="21"/>
                <w:highlight w:val="none"/>
              </w:rPr>
              <w:t>业绩要求</w:t>
            </w:r>
          </w:p>
        </w:tc>
      </w:tr>
      <w:tr w14:paraId="7DEC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trPr>
        <w:tc>
          <w:tcPr>
            <w:tcW w:w="8642" w:type="dxa"/>
            <w:vAlign w:val="center"/>
          </w:tcPr>
          <w:p w14:paraId="41B931D5">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近</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eastAsia="zh-CN"/>
              </w:rPr>
              <w:t>2020</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12月</w:t>
            </w:r>
            <w:r>
              <w:rPr>
                <w:rFonts w:hint="eastAsia" w:ascii="宋体" w:hAnsi="宋体" w:eastAsia="宋体" w:cs="宋体"/>
                <w:sz w:val="21"/>
                <w:szCs w:val="21"/>
                <w:highlight w:val="none"/>
              </w:rPr>
              <w:t>1日</w:t>
            </w:r>
            <w:r>
              <w:rPr>
                <w:rFonts w:hint="eastAsia" w:ascii="宋体" w:hAnsi="宋体" w:eastAsia="宋体" w:cs="宋体"/>
                <w:sz w:val="21"/>
                <w:szCs w:val="21"/>
                <w:highlight w:val="none"/>
                <w:lang w:eastAsia="zh-CN"/>
              </w:rPr>
              <w:t>至今</w:t>
            </w:r>
            <w:r>
              <w:rPr>
                <w:rFonts w:hint="eastAsia" w:ascii="宋体" w:hAnsi="宋体" w:eastAsia="宋体" w:cs="宋体"/>
                <w:sz w:val="21"/>
                <w:szCs w:val="21"/>
                <w:highlight w:val="none"/>
              </w:rPr>
              <w:t>，以合同签订时间为准）至少具有一项</w:t>
            </w:r>
            <w:r>
              <w:rPr>
                <w:rFonts w:hint="eastAsia" w:ascii="宋体" w:hAnsi="宋体" w:eastAsia="宋体" w:cs="宋体"/>
                <w:sz w:val="21"/>
                <w:szCs w:val="21"/>
                <w:highlight w:val="none"/>
                <w:lang w:val="en-US" w:eastAsia="zh-CN"/>
              </w:rPr>
              <w:t>高速公路建设项目</w:t>
            </w:r>
            <w:r>
              <w:rPr>
                <w:rFonts w:hint="eastAsia" w:ascii="宋体" w:hAnsi="宋体" w:eastAsia="宋体" w:cs="宋体"/>
                <w:sz w:val="21"/>
                <w:szCs w:val="21"/>
                <w:highlight w:val="none"/>
                <w:lang w:eastAsia="zh-CN"/>
              </w:rPr>
              <w:t>竣工财务决算审计</w:t>
            </w:r>
            <w:r>
              <w:rPr>
                <w:rFonts w:hint="eastAsia" w:ascii="宋体" w:hAnsi="宋体" w:eastAsia="宋体" w:cs="宋体"/>
                <w:sz w:val="21"/>
                <w:szCs w:val="21"/>
                <w:highlight w:val="none"/>
              </w:rPr>
              <w:t>业绩；</w:t>
            </w:r>
          </w:p>
          <w:p w14:paraId="20D7D872">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近</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eastAsia="zh-CN"/>
              </w:rPr>
              <w:t>2020</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12月</w:t>
            </w:r>
            <w:r>
              <w:rPr>
                <w:rFonts w:hint="eastAsia" w:ascii="宋体" w:hAnsi="宋体" w:eastAsia="宋体" w:cs="宋体"/>
                <w:sz w:val="21"/>
                <w:szCs w:val="21"/>
                <w:highlight w:val="none"/>
              </w:rPr>
              <w:t>1日</w:t>
            </w:r>
            <w:r>
              <w:rPr>
                <w:rFonts w:hint="eastAsia" w:ascii="宋体" w:hAnsi="宋体" w:eastAsia="宋体" w:cs="宋体"/>
                <w:sz w:val="21"/>
                <w:szCs w:val="21"/>
                <w:highlight w:val="none"/>
                <w:lang w:eastAsia="zh-CN"/>
              </w:rPr>
              <w:t>至今</w:t>
            </w:r>
            <w:r>
              <w:rPr>
                <w:rFonts w:hint="eastAsia" w:ascii="宋体" w:hAnsi="宋体" w:eastAsia="宋体" w:cs="宋体"/>
                <w:sz w:val="21"/>
                <w:szCs w:val="21"/>
                <w:highlight w:val="none"/>
              </w:rPr>
              <w:t>，以合同签订时间为准）至少</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一项</w:t>
            </w:r>
            <w:r>
              <w:rPr>
                <w:rFonts w:hint="eastAsia" w:ascii="宋体" w:hAnsi="宋体" w:eastAsia="宋体" w:cs="宋体"/>
                <w:sz w:val="21"/>
                <w:szCs w:val="21"/>
                <w:highlight w:val="none"/>
                <w:lang w:val="en-US" w:eastAsia="zh-CN"/>
              </w:rPr>
              <w:t>高速公路建设项目工程</w:t>
            </w:r>
            <w:r>
              <w:rPr>
                <w:rFonts w:hint="eastAsia" w:ascii="宋体" w:hAnsi="宋体" w:eastAsia="宋体" w:cs="宋体"/>
                <w:sz w:val="21"/>
                <w:szCs w:val="21"/>
                <w:highlight w:val="none"/>
              </w:rPr>
              <w:t>结算</w:t>
            </w:r>
            <w:r>
              <w:rPr>
                <w:rFonts w:hint="eastAsia" w:ascii="宋体" w:hAnsi="宋体" w:eastAsia="宋体" w:cs="宋体"/>
                <w:sz w:val="21"/>
                <w:szCs w:val="21"/>
                <w:highlight w:val="none"/>
                <w:lang w:eastAsia="zh-CN"/>
              </w:rPr>
              <w:t>审核业绩</w:t>
            </w:r>
            <w:r>
              <w:rPr>
                <w:rFonts w:hint="eastAsia" w:ascii="宋体" w:hAnsi="宋体" w:eastAsia="宋体" w:cs="宋体"/>
                <w:sz w:val="21"/>
                <w:szCs w:val="21"/>
                <w:highlight w:val="none"/>
              </w:rPr>
              <w:t>；</w:t>
            </w:r>
          </w:p>
          <w:p w14:paraId="065B19C9">
            <w:pPr>
              <w:pStyle w:val="5"/>
              <w:keepNext/>
              <w:keepLines/>
              <w:pageBreakBefore w:val="0"/>
              <w:widowControl w:val="0"/>
              <w:kinsoku/>
              <w:wordWrap/>
              <w:overflowPunct/>
              <w:topLinePunct w:val="0"/>
              <w:autoSpaceDE/>
              <w:autoSpaceDN/>
              <w:bidi w:val="0"/>
              <w:adjustRightInd/>
              <w:snapToGrid/>
              <w:spacing w:before="0" w:after="0" w:line="360" w:lineRule="auto"/>
              <w:ind w:firstLine="422" w:firstLineChars="200"/>
              <w:textAlignment w:val="auto"/>
            </w:pPr>
            <w:r>
              <w:rPr>
                <w:rFonts w:hint="eastAsia" w:ascii="宋体" w:hAnsi="宋体" w:eastAsia="宋体" w:cs="宋体"/>
                <w:color w:val="auto"/>
                <w:kern w:val="2"/>
                <w:sz w:val="21"/>
                <w:szCs w:val="21"/>
                <w:highlight w:val="none"/>
                <w:lang w:val="en-US" w:eastAsia="zh-CN" w:bidi="ar-SA"/>
              </w:rPr>
              <w:t>如为联合体投标，联合体牵头人须具备竣工财务决算审计业绩，联合体成员须具备工程结算审核业绩。</w:t>
            </w:r>
          </w:p>
        </w:tc>
      </w:tr>
    </w:tbl>
    <w:p w14:paraId="6CEB6AB8">
      <w:pPr>
        <w:rPr>
          <w:rFonts w:ascii="宋体" w:hAnsi="宋体"/>
          <w:sz w:val="24"/>
          <w:szCs w:val="24"/>
          <w:highlight w:val="none"/>
        </w:rPr>
      </w:pPr>
    </w:p>
    <w:p w14:paraId="7A1CAC72">
      <w:pPr>
        <w:jc w:val="center"/>
        <w:rPr>
          <w:rFonts w:ascii="宋体" w:hAnsi="宋体"/>
          <w:b/>
          <w:sz w:val="24"/>
          <w:szCs w:val="24"/>
          <w:highlight w:val="none"/>
        </w:rPr>
      </w:pPr>
      <w:r>
        <w:rPr>
          <w:rFonts w:hint="eastAsia" w:ascii="宋体" w:hAnsi="宋体"/>
          <w:b/>
          <w:sz w:val="24"/>
          <w:szCs w:val="24"/>
          <w:highlight w:val="none"/>
        </w:rPr>
        <w:t>附录3  资格审查条件（信誉最低要求）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240B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1E917982">
            <w:pPr>
              <w:jc w:val="center"/>
              <w:rPr>
                <w:rFonts w:ascii="宋体" w:hAnsi="宋体"/>
                <w:szCs w:val="21"/>
                <w:highlight w:val="none"/>
              </w:rPr>
            </w:pPr>
            <w:r>
              <w:rPr>
                <w:rFonts w:hint="eastAsia" w:ascii="宋体" w:hAnsi="宋体"/>
                <w:szCs w:val="21"/>
                <w:highlight w:val="none"/>
              </w:rPr>
              <w:t>信誉要求</w:t>
            </w:r>
          </w:p>
        </w:tc>
      </w:tr>
      <w:tr w14:paraId="1AAC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61AA694A">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近1年（2024年12月1日至今）不曾在高速公路建设项目审计服务合同中违约而被驱逐或因投标人自身的原因而使高速公路建设项目审计服务项目合同被解除。</w:t>
            </w:r>
          </w:p>
          <w:p w14:paraId="226D5A9E">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ascii="宋体" w:hAnsi="宋体"/>
                <w:szCs w:val="21"/>
                <w:highlight w:val="none"/>
              </w:rPr>
            </w:pPr>
            <w:r>
              <w:rPr>
                <w:rFonts w:hint="eastAsia" w:ascii="宋体" w:hAnsi="宋体" w:eastAsia="宋体" w:cs="宋体"/>
                <w:sz w:val="21"/>
                <w:szCs w:val="21"/>
                <w:highlight w:val="none"/>
                <w:lang w:val="en-US" w:eastAsia="zh-CN"/>
              </w:rPr>
              <w:t>注：以联合体形式投标的，联</w:t>
            </w:r>
            <w:r>
              <w:rPr>
                <w:rFonts w:hint="eastAsia"/>
                <w:color w:val="auto"/>
                <w:sz w:val="21"/>
                <w:szCs w:val="21"/>
                <w:highlight w:val="none"/>
              </w:rPr>
              <w:t>合体各成员均</w:t>
            </w:r>
            <w:r>
              <w:rPr>
                <w:rFonts w:hint="eastAsia"/>
                <w:color w:val="auto"/>
                <w:sz w:val="21"/>
                <w:szCs w:val="21"/>
                <w:highlight w:val="none"/>
                <w:lang w:val="en-US" w:eastAsia="zh-CN"/>
              </w:rPr>
              <w:t>应</w:t>
            </w:r>
            <w:r>
              <w:rPr>
                <w:rFonts w:hint="eastAsia"/>
                <w:color w:val="auto"/>
                <w:sz w:val="21"/>
                <w:szCs w:val="21"/>
                <w:highlight w:val="none"/>
              </w:rPr>
              <w:t>满足</w:t>
            </w:r>
            <w:r>
              <w:rPr>
                <w:rFonts w:hint="eastAsia"/>
                <w:color w:val="auto"/>
                <w:sz w:val="21"/>
                <w:szCs w:val="21"/>
                <w:highlight w:val="none"/>
                <w:lang w:val="en-US" w:eastAsia="zh-CN"/>
              </w:rPr>
              <w:t>上述要求</w:t>
            </w:r>
            <w:r>
              <w:rPr>
                <w:rFonts w:hint="eastAsia"/>
                <w:color w:val="auto"/>
                <w:sz w:val="21"/>
                <w:szCs w:val="21"/>
                <w:highlight w:val="none"/>
              </w:rPr>
              <w:t>。</w:t>
            </w:r>
          </w:p>
        </w:tc>
      </w:tr>
    </w:tbl>
    <w:p w14:paraId="45EA3D94">
      <w:pPr>
        <w:rPr>
          <w:rFonts w:ascii="宋体" w:hAnsi="宋体"/>
          <w:sz w:val="24"/>
          <w:szCs w:val="24"/>
          <w:highlight w:val="none"/>
        </w:rPr>
      </w:pPr>
    </w:p>
    <w:p w14:paraId="2E44159C">
      <w:pPr>
        <w:jc w:val="center"/>
        <w:rPr>
          <w:rFonts w:ascii="宋体" w:hAnsi="宋体"/>
          <w:b/>
          <w:sz w:val="24"/>
          <w:szCs w:val="24"/>
          <w:highlight w:val="none"/>
        </w:rPr>
      </w:pPr>
      <w:r>
        <w:rPr>
          <w:rFonts w:hint="eastAsia" w:ascii="宋体" w:hAnsi="宋体"/>
          <w:b/>
          <w:sz w:val="24"/>
          <w:szCs w:val="24"/>
          <w:highlight w:val="none"/>
        </w:rPr>
        <w:t>附录4  资格审查条件（</w:t>
      </w:r>
      <w:r>
        <w:rPr>
          <w:rFonts w:hint="eastAsia" w:ascii="宋体" w:hAnsi="宋体"/>
          <w:b/>
          <w:sz w:val="24"/>
          <w:szCs w:val="24"/>
          <w:highlight w:val="none"/>
          <w:lang w:val="en-US" w:eastAsia="zh-CN"/>
        </w:rPr>
        <w:t>项目负责人</w:t>
      </w:r>
      <w:r>
        <w:rPr>
          <w:rFonts w:hint="eastAsia" w:ascii="宋体" w:hAnsi="宋体"/>
          <w:b/>
          <w:sz w:val="24"/>
          <w:szCs w:val="24"/>
          <w:highlight w:val="none"/>
        </w:rPr>
        <w:t>最低要求）</w:t>
      </w:r>
    </w:p>
    <w:tbl>
      <w:tblPr>
        <w:tblStyle w:val="11"/>
        <w:tblW w:w="868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855"/>
        <w:gridCol w:w="6480"/>
      </w:tblGrid>
      <w:tr w14:paraId="69AA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9" w:hRule="atLeast"/>
        </w:trPr>
        <w:tc>
          <w:tcPr>
            <w:tcW w:w="1351" w:type="dxa"/>
            <w:vAlign w:val="center"/>
          </w:tcPr>
          <w:p w14:paraId="56D12F53">
            <w:pPr>
              <w:jc w:val="center"/>
              <w:rPr>
                <w:rFonts w:ascii="宋体" w:hAnsi="宋体"/>
                <w:szCs w:val="21"/>
                <w:highlight w:val="none"/>
              </w:rPr>
            </w:pPr>
            <w:r>
              <w:rPr>
                <w:rFonts w:hint="eastAsia" w:ascii="宋体" w:hAnsi="宋体"/>
                <w:szCs w:val="21"/>
                <w:highlight w:val="none"/>
              </w:rPr>
              <w:t>人员</w:t>
            </w:r>
          </w:p>
        </w:tc>
        <w:tc>
          <w:tcPr>
            <w:tcW w:w="855" w:type="dxa"/>
            <w:vAlign w:val="center"/>
          </w:tcPr>
          <w:p w14:paraId="3B650A70">
            <w:pPr>
              <w:jc w:val="center"/>
              <w:rPr>
                <w:rFonts w:ascii="宋体" w:hAnsi="宋体"/>
                <w:szCs w:val="21"/>
                <w:highlight w:val="none"/>
              </w:rPr>
            </w:pPr>
            <w:r>
              <w:rPr>
                <w:rFonts w:hint="eastAsia" w:ascii="宋体" w:hAnsi="宋体"/>
                <w:szCs w:val="21"/>
                <w:highlight w:val="none"/>
              </w:rPr>
              <w:t>数量</w:t>
            </w:r>
          </w:p>
        </w:tc>
        <w:tc>
          <w:tcPr>
            <w:tcW w:w="6480" w:type="dxa"/>
            <w:vAlign w:val="center"/>
          </w:tcPr>
          <w:p w14:paraId="2AFD5CC9">
            <w:pPr>
              <w:jc w:val="center"/>
              <w:rPr>
                <w:rFonts w:ascii="宋体" w:hAnsi="宋体"/>
                <w:szCs w:val="21"/>
                <w:highlight w:val="none"/>
              </w:rPr>
            </w:pPr>
            <w:r>
              <w:rPr>
                <w:rFonts w:hint="eastAsia" w:ascii="宋体" w:hAnsi="宋体"/>
                <w:szCs w:val="21"/>
                <w:highlight w:val="none"/>
              </w:rPr>
              <w:t>资格要求</w:t>
            </w:r>
          </w:p>
        </w:tc>
      </w:tr>
      <w:tr w14:paraId="04ED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1351" w:type="dxa"/>
            <w:vAlign w:val="center"/>
          </w:tcPr>
          <w:p w14:paraId="24C367CA">
            <w:pPr>
              <w:jc w:val="center"/>
              <w:rPr>
                <w:rFonts w:ascii="宋体" w:hAnsi="宋体"/>
                <w:szCs w:val="21"/>
                <w:highlight w:val="none"/>
              </w:rPr>
            </w:pPr>
            <w:r>
              <w:rPr>
                <w:rFonts w:hint="eastAsia" w:ascii="宋体" w:hAnsi="宋体"/>
                <w:szCs w:val="21"/>
                <w:highlight w:val="none"/>
              </w:rPr>
              <w:t>项目负责人</w:t>
            </w:r>
          </w:p>
        </w:tc>
        <w:tc>
          <w:tcPr>
            <w:tcW w:w="855" w:type="dxa"/>
            <w:vAlign w:val="center"/>
          </w:tcPr>
          <w:p w14:paraId="2CD6BB55">
            <w:pPr>
              <w:jc w:val="center"/>
              <w:rPr>
                <w:rFonts w:ascii="宋体" w:hAnsi="宋体"/>
                <w:szCs w:val="21"/>
                <w:highlight w:val="none"/>
              </w:rPr>
            </w:pPr>
            <w:r>
              <w:rPr>
                <w:rFonts w:hint="eastAsia" w:ascii="宋体" w:hAnsi="宋体"/>
                <w:szCs w:val="21"/>
                <w:highlight w:val="none"/>
              </w:rPr>
              <w:t>1</w:t>
            </w:r>
          </w:p>
        </w:tc>
        <w:tc>
          <w:tcPr>
            <w:tcW w:w="6480" w:type="dxa"/>
            <w:vAlign w:val="center"/>
          </w:tcPr>
          <w:p w14:paraId="3BE612B3">
            <w:pPr>
              <w:keepNext w:val="0"/>
              <w:keepLines w:val="0"/>
              <w:pageBreakBefore w:val="0"/>
              <w:widowControl w:val="0"/>
              <w:kinsoku/>
              <w:wordWrap/>
              <w:overflowPunct/>
              <w:topLinePunct w:val="0"/>
              <w:autoSpaceDE/>
              <w:autoSpaceDN/>
              <w:bidi w:val="0"/>
              <w:adjustRightInd/>
              <w:spacing w:line="360" w:lineRule="exact"/>
              <w:jc w:val="left"/>
              <w:textAlignment w:val="auto"/>
              <w:rPr>
                <w:rFonts w:ascii="宋体" w:hAnsi="宋体"/>
                <w:color w:val="FF0000"/>
                <w:szCs w:val="21"/>
                <w:highlight w:val="none"/>
              </w:rPr>
            </w:pPr>
            <w:r>
              <w:rPr>
                <w:rFonts w:hint="eastAsia" w:ascii="宋体" w:hAnsi="宋体" w:eastAsia="宋体" w:cs="宋体"/>
                <w:sz w:val="21"/>
                <w:szCs w:val="21"/>
                <w:highlight w:val="none"/>
                <w:lang w:val="en-US" w:eastAsia="zh-CN"/>
              </w:rPr>
              <w:t>注册会计师，注册单位名称须与投标人（或联合体牵头人）名称一致；近5年（2020年12月1日至今，以合同签订时间为准）至少担任过一项高速公路建设项目财务审计项目的项目负责人。</w:t>
            </w:r>
          </w:p>
        </w:tc>
      </w:tr>
    </w:tbl>
    <w:p w14:paraId="114950CA">
      <w:pPr>
        <w:bidi w:val="0"/>
        <w:rPr>
          <w:rFonts w:hint="eastAsia"/>
          <w:highlight w:val="none"/>
        </w:rPr>
      </w:pPr>
    </w:p>
    <w:p w14:paraId="246F94B0">
      <w:pPr>
        <w:jc w:val="center"/>
        <w:rPr>
          <w:rFonts w:hint="eastAsia" w:ascii="宋体" w:hAnsi="宋体"/>
          <w:b/>
          <w:sz w:val="24"/>
          <w:szCs w:val="24"/>
          <w:highlight w:val="none"/>
        </w:rPr>
      </w:pPr>
      <w:r>
        <w:rPr>
          <w:rFonts w:hint="eastAsia" w:ascii="宋体" w:hAnsi="宋体"/>
          <w:b/>
          <w:sz w:val="24"/>
          <w:szCs w:val="24"/>
          <w:highlight w:val="none"/>
        </w:rPr>
        <w:t>附录5  资格审查条件（其他人员最低要求）</w:t>
      </w:r>
    </w:p>
    <w:tbl>
      <w:tblPr>
        <w:tblStyle w:val="11"/>
        <w:tblW w:w="50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2"/>
        <w:gridCol w:w="926"/>
        <w:gridCol w:w="6623"/>
      </w:tblGrid>
      <w:tr w14:paraId="1EA2B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596" w:type="pct"/>
            <w:noWrap w:val="0"/>
            <w:vAlign w:val="center"/>
          </w:tcPr>
          <w:p w14:paraId="5DE4301C">
            <w:pPr>
              <w:pStyle w:val="10"/>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bookmarkStart w:id="8" w:name="_GoBack"/>
            <w:r>
              <w:rPr>
                <w:rFonts w:hint="eastAsia" w:ascii="宋体" w:hAnsi="宋体" w:eastAsia="宋体" w:cs="宋体"/>
                <w:color w:val="auto"/>
                <w:sz w:val="21"/>
                <w:szCs w:val="21"/>
                <w:highlight w:val="none"/>
                <w:lang w:val="en-US" w:eastAsia="zh-CN"/>
              </w:rPr>
              <w:t>人   员</w:t>
            </w:r>
          </w:p>
        </w:tc>
        <w:tc>
          <w:tcPr>
            <w:tcW w:w="540" w:type="pct"/>
            <w:noWrap w:val="0"/>
            <w:vAlign w:val="center"/>
          </w:tcPr>
          <w:p w14:paraId="5C403C56">
            <w:pPr>
              <w:pStyle w:val="10"/>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c>
          <w:tcPr>
            <w:tcW w:w="3863" w:type="pct"/>
            <w:noWrap w:val="0"/>
            <w:vAlign w:val="center"/>
          </w:tcPr>
          <w:p w14:paraId="67520068">
            <w:pPr>
              <w:pStyle w:val="10"/>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资格要求</w:t>
            </w:r>
          </w:p>
        </w:tc>
      </w:tr>
      <w:tr w14:paraId="70AB2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596" w:type="pct"/>
            <w:noWrap w:val="0"/>
            <w:vAlign w:val="center"/>
          </w:tcPr>
          <w:p w14:paraId="36D2BF61">
            <w:pPr>
              <w:jc w:val="center"/>
              <w:rPr>
                <w:rFonts w:hint="eastAsia" w:ascii="宋体" w:hAnsi="宋体" w:eastAsia="宋体" w:cs="宋体"/>
                <w:color w:val="auto"/>
                <w:kern w:val="2"/>
                <w:sz w:val="21"/>
                <w:szCs w:val="21"/>
                <w:highlight w:val="none"/>
                <w:lang w:val="en-US" w:eastAsia="zh-CN" w:bidi="ar-SA"/>
              </w:rPr>
            </w:pPr>
            <w:r>
              <w:rPr>
                <w:rFonts w:hint="eastAsia" w:ascii="宋体" w:hAnsi="宋体"/>
                <w:szCs w:val="21"/>
                <w:highlight w:val="none"/>
                <w:lang w:val="en-US" w:eastAsia="zh-CN"/>
              </w:rPr>
              <w:t>财务审计人员</w:t>
            </w:r>
          </w:p>
        </w:tc>
        <w:tc>
          <w:tcPr>
            <w:tcW w:w="540" w:type="pct"/>
            <w:noWrap w:val="0"/>
            <w:vAlign w:val="center"/>
          </w:tcPr>
          <w:p w14:paraId="4AA14781">
            <w:pPr>
              <w:jc w:val="center"/>
              <w:rPr>
                <w:rFonts w:hint="eastAsia" w:ascii="宋体" w:hAnsi="宋体" w:eastAsia="宋体" w:cs="宋体"/>
                <w:color w:val="auto"/>
                <w:kern w:val="2"/>
                <w:sz w:val="21"/>
                <w:szCs w:val="21"/>
                <w:highlight w:val="none"/>
                <w:lang w:val="en-US" w:eastAsia="zh-CN" w:bidi="ar-SA"/>
              </w:rPr>
            </w:pPr>
            <w:r>
              <w:rPr>
                <w:rFonts w:hint="eastAsia" w:ascii="宋体" w:hAnsi="宋体"/>
                <w:szCs w:val="21"/>
                <w:highlight w:val="none"/>
                <w:lang w:val="en-US" w:eastAsia="zh-CN"/>
              </w:rPr>
              <w:t>2</w:t>
            </w:r>
          </w:p>
        </w:tc>
        <w:tc>
          <w:tcPr>
            <w:tcW w:w="3863" w:type="pct"/>
            <w:noWrap w:val="0"/>
            <w:vAlign w:val="center"/>
          </w:tcPr>
          <w:p w14:paraId="38D4F30D">
            <w:pPr>
              <w:pStyle w:val="2"/>
              <w:rPr>
                <w:rFonts w:hint="eastAsia" w:ascii="宋体" w:hAnsi="宋体" w:eastAsia="宋体" w:cs="宋体"/>
                <w:color w:val="auto"/>
                <w:kern w:val="2"/>
                <w:sz w:val="21"/>
                <w:szCs w:val="21"/>
                <w:highlight w:val="none"/>
                <w:lang w:val="en-US" w:eastAsia="zh-CN" w:bidi="ar-SA"/>
              </w:rPr>
            </w:pPr>
            <w:r>
              <w:rPr>
                <w:rFonts w:hint="eastAsia" w:ascii="宋体" w:hAnsi="宋体" w:cs="宋体"/>
                <w:sz w:val="21"/>
                <w:szCs w:val="21"/>
                <w:highlight w:val="none"/>
                <w:lang w:val="en-US" w:eastAsia="zh-CN"/>
              </w:rPr>
              <w:t>会计师及以上职称，</w:t>
            </w:r>
            <w:r>
              <w:rPr>
                <w:rFonts w:hint="eastAsia" w:ascii="宋体" w:hAnsi="宋体" w:eastAsia="宋体" w:cs="宋体"/>
                <w:sz w:val="21"/>
                <w:szCs w:val="21"/>
                <w:highlight w:val="none"/>
              </w:rPr>
              <w:t>其中1人须为注册会计师，</w:t>
            </w:r>
            <w:r>
              <w:rPr>
                <w:rFonts w:hint="eastAsia"/>
                <w:highlight w:val="none"/>
              </w:rPr>
              <w:t>且注册</w:t>
            </w:r>
            <w:r>
              <w:rPr>
                <w:rFonts w:hint="eastAsia"/>
                <w:highlight w:val="none"/>
                <w:lang w:val="en-US" w:eastAsia="zh-CN"/>
              </w:rPr>
              <w:t>单位名称</w:t>
            </w:r>
            <w:r>
              <w:rPr>
                <w:rFonts w:hint="eastAsia"/>
                <w:highlight w:val="none"/>
              </w:rPr>
              <w:t>须与投标人（或联合体牵头人）名称一致</w:t>
            </w:r>
            <w:r>
              <w:rPr>
                <w:rFonts w:hint="eastAsia"/>
                <w:highlight w:val="none"/>
                <w:lang w:eastAsia="zh-CN"/>
              </w:rPr>
              <w:t>。</w:t>
            </w:r>
          </w:p>
        </w:tc>
      </w:tr>
      <w:tr w14:paraId="6ECE8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6" w:type="pct"/>
            <w:noWrap w:val="0"/>
            <w:vAlign w:val="center"/>
          </w:tcPr>
          <w:p w14:paraId="558226D1">
            <w:pPr>
              <w:jc w:val="center"/>
              <w:rPr>
                <w:rFonts w:hint="eastAsia" w:ascii="宋体" w:hAnsi="宋体" w:eastAsia="宋体" w:cs="宋体"/>
                <w:color w:val="auto"/>
                <w:kern w:val="2"/>
                <w:sz w:val="21"/>
                <w:szCs w:val="21"/>
                <w:highlight w:val="none"/>
                <w:lang w:val="en-US" w:eastAsia="zh-CN" w:bidi="ar-SA"/>
              </w:rPr>
            </w:pPr>
            <w:r>
              <w:rPr>
                <w:rFonts w:hint="eastAsia" w:ascii="宋体" w:hAnsi="宋体"/>
                <w:szCs w:val="21"/>
                <w:highlight w:val="none"/>
                <w:lang w:val="en-US" w:eastAsia="zh-CN"/>
              </w:rPr>
              <w:t>造价审核人员</w:t>
            </w:r>
          </w:p>
        </w:tc>
        <w:tc>
          <w:tcPr>
            <w:tcW w:w="540" w:type="pct"/>
            <w:noWrap w:val="0"/>
            <w:vAlign w:val="center"/>
          </w:tcPr>
          <w:p w14:paraId="4DE7B8BC">
            <w:pPr>
              <w:jc w:val="center"/>
              <w:rPr>
                <w:rFonts w:hint="eastAsia" w:ascii="宋体" w:hAnsi="宋体" w:eastAsia="宋体" w:cs="宋体"/>
                <w:color w:val="auto"/>
                <w:kern w:val="2"/>
                <w:sz w:val="21"/>
                <w:szCs w:val="21"/>
                <w:highlight w:val="none"/>
                <w:lang w:val="en-US" w:eastAsia="zh-CN" w:bidi="ar-SA"/>
              </w:rPr>
            </w:pPr>
            <w:r>
              <w:rPr>
                <w:rFonts w:hint="eastAsia" w:ascii="宋体" w:hAnsi="宋体"/>
                <w:sz w:val="21"/>
                <w:szCs w:val="21"/>
                <w:highlight w:val="none"/>
                <w:lang w:val="en-US" w:eastAsia="zh-CN"/>
              </w:rPr>
              <w:t>2</w:t>
            </w:r>
          </w:p>
        </w:tc>
        <w:tc>
          <w:tcPr>
            <w:tcW w:w="3863" w:type="pct"/>
            <w:noWrap w:val="0"/>
            <w:vAlign w:val="center"/>
          </w:tcPr>
          <w:p w14:paraId="2E5D2FC9">
            <w:pPr>
              <w:pStyle w:val="2"/>
              <w:rPr>
                <w:rFonts w:hint="default" w:ascii="宋体" w:hAnsi="宋体" w:eastAsia="宋体" w:cs="宋体"/>
                <w:color w:val="auto"/>
                <w:kern w:val="2"/>
                <w:sz w:val="21"/>
                <w:szCs w:val="21"/>
                <w:highlight w:val="none"/>
                <w:lang w:val="en-US" w:eastAsia="zh-CN" w:bidi="ar-SA"/>
              </w:rPr>
            </w:pPr>
            <w:r>
              <w:rPr>
                <w:rFonts w:hint="eastAsia"/>
                <w:highlight w:val="none"/>
                <w:lang w:val="en-US" w:eastAsia="zh-CN"/>
              </w:rPr>
              <w:t>中级及以上职称，</w:t>
            </w:r>
            <w:r>
              <w:rPr>
                <w:rFonts w:hint="eastAsia" w:ascii="宋体" w:hAnsi="宋体" w:cs="宋体"/>
                <w:sz w:val="21"/>
                <w:szCs w:val="21"/>
                <w:highlight w:val="none"/>
                <w:lang w:val="en-US" w:eastAsia="zh-CN"/>
              </w:rPr>
              <w:t>其中1人须为一级</w:t>
            </w:r>
            <w:r>
              <w:rPr>
                <w:rFonts w:hint="eastAsia" w:ascii="宋体" w:hAnsi="宋体" w:eastAsia="宋体" w:cs="宋体"/>
                <w:sz w:val="21"/>
                <w:szCs w:val="21"/>
                <w:highlight w:val="none"/>
                <w:lang w:eastAsia="zh-CN"/>
              </w:rPr>
              <w:t>注册造价工程师(或交通运输部公路工程甲级造价人员)，</w:t>
            </w:r>
            <w:r>
              <w:rPr>
                <w:rFonts w:hint="eastAsia"/>
                <w:highlight w:val="none"/>
              </w:rPr>
              <w:t>且注册</w:t>
            </w:r>
            <w:r>
              <w:rPr>
                <w:rFonts w:hint="eastAsia"/>
                <w:highlight w:val="none"/>
                <w:lang w:val="en-US" w:eastAsia="zh-CN"/>
              </w:rPr>
              <w:t>单位名称</w:t>
            </w:r>
            <w:r>
              <w:rPr>
                <w:rFonts w:hint="eastAsia"/>
                <w:highlight w:val="none"/>
              </w:rPr>
              <w:t>须与投标人（或联合体</w:t>
            </w:r>
            <w:r>
              <w:rPr>
                <w:rFonts w:hint="eastAsia"/>
                <w:highlight w:val="none"/>
                <w:lang w:val="en-US" w:eastAsia="zh-CN"/>
              </w:rPr>
              <w:t>成员</w:t>
            </w:r>
            <w:r>
              <w:rPr>
                <w:rFonts w:hint="eastAsia"/>
                <w:highlight w:val="none"/>
              </w:rPr>
              <w:t>）名称一致</w:t>
            </w:r>
            <w:r>
              <w:rPr>
                <w:rFonts w:hint="eastAsia"/>
                <w:highlight w:val="none"/>
                <w:lang w:val="en-US" w:eastAsia="zh-CN"/>
              </w:rPr>
              <w:t>。</w:t>
            </w:r>
          </w:p>
        </w:tc>
      </w:tr>
      <w:bookmarkEnd w:id="8"/>
    </w:tbl>
    <w:p w14:paraId="0EB6EFA3">
      <w:pPr>
        <w:pStyle w:val="6"/>
        <w:snapToGrid w:val="0"/>
        <w:spacing w:beforeLines="50" w:afterLines="50" w:line="240" w:lineRule="auto"/>
        <w:rPr>
          <w:rFonts w:ascii="宋体" w:hAnsi="宋体"/>
          <w:sz w:val="24"/>
          <w:szCs w:val="24"/>
          <w:highlight w:val="none"/>
        </w:rPr>
      </w:pPr>
      <w:r>
        <w:rPr>
          <w:rFonts w:ascii="黑体" w:eastAsia="黑体"/>
          <w:spacing w:val="-8"/>
          <w:sz w:val="24"/>
          <w:szCs w:val="24"/>
          <w:highlight w:val="none"/>
        </w:rPr>
        <w:br w:type="page"/>
      </w:r>
      <w:bookmarkStart w:id="1" w:name="_Toc141780407"/>
      <w:r>
        <w:rPr>
          <w:rFonts w:hint="eastAsia" w:ascii="宋体" w:hAnsi="宋体"/>
          <w:sz w:val="24"/>
          <w:szCs w:val="24"/>
          <w:highlight w:val="none"/>
        </w:rPr>
        <w:t>附件</w:t>
      </w:r>
      <w:r>
        <w:rPr>
          <w:rFonts w:ascii="宋体" w:hAnsi="宋体"/>
          <w:sz w:val="24"/>
          <w:szCs w:val="24"/>
          <w:highlight w:val="none"/>
        </w:rPr>
        <w:t>2</w:t>
      </w:r>
      <w:r>
        <w:rPr>
          <w:rFonts w:hint="eastAsia" w:ascii="宋体" w:hAnsi="宋体"/>
          <w:sz w:val="24"/>
          <w:szCs w:val="24"/>
          <w:highlight w:val="none"/>
        </w:rPr>
        <w:t>：评标办法</w:t>
      </w:r>
      <w:bookmarkEnd w:id="1"/>
    </w:p>
    <w:p w14:paraId="28A43A1E">
      <w:pPr>
        <w:pStyle w:val="6"/>
        <w:snapToGrid w:val="0"/>
        <w:spacing w:before="120" w:after="120" w:line="240" w:lineRule="auto"/>
        <w:rPr>
          <w:sz w:val="24"/>
          <w:szCs w:val="24"/>
          <w:highlight w:val="none"/>
        </w:rPr>
      </w:pPr>
      <w:bookmarkStart w:id="2" w:name="_Toc141780408"/>
      <w:bookmarkStart w:id="3" w:name="_Toc138793770"/>
      <w:bookmarkStart w:id="4" w:name="_Toc65857110"/>
      <w:bookmarkStart w:id="5" w:name="_Toc66984522"/>
      <w:bookmarkStart w:id="6" w:name="_Toc66337244"/>
      <w:bookmarkStart w:id="7" w:name="_Toc65820978"/>
      <w:r>
        <w:rPr>
          <w:rFonts w:hint="eastAsia"/>
          <w:sz w:val="24"/>
          <w:szCs w:val="24"/>
          <w:highlight w:val="none"/>
        </w:rPr>
        <w:t>评标办法前附表</w:t>
      </w:r>
      <w:bookmarkEnd w:id="2"/>
      <w:bookmarkEnd w:id="3"/>
      <w:bookmarkEnd w:id="4"/>
      <w:bookmarkEnd w:id="5"/>
      <w:bookmarkEnd w:id="6"/>
      <w:bookmarkEnd w:id="7"/>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004"/>
        <w:gridCol w:w="7"/>
        <w:gridCol w:w="6778"/>
        <w:gridCol w:w="9"/>
      </w:tblGrid>
      <w:tr w14:paraId="2A99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018" w:type="pct"/>
            <w:gridSpan w:val="3"/>
            <w:vAlign w:val="center"/>
          </w:tcPr>
          <w:p w14:paraId="008A1C65">
            <w:pPr>
              <w:jc w:val="center"/>
              <w:rPr>
                <w:rFonts w:ascii="Times New Roman" w:hAnsi="Times New Roman"/>
                <w:highlight w:val="none"/>
              </w:rPr>
            </w:pPr>
            <w:r>
              <w:rPr>
                <w:rFonts w:ascii="Times New Roman" w:hAnsi="Times New Roman"/>
                <w:highlight w:val="none"/>
              </w:rPr>
              <w:t>条款号</w:t>
            </w:r>
          </w:p>
        </w:tc>
        <w:tc>
          <w:tcPr>
            <w:tcW w:w="3981" w:type="pct"/>
            <w:gridSpan w:val="2"/>
            <w:vAlign w:val="center"/>
          </w:tcPr>
          <w:p w14:paraId="7F7F4990">
            <w:pPr>
              <w:jc w:val="center"/>
              <w:rPr>
                <w:rFonts w:ascii="Times New Roman" w:hAnsi="Times New Roman"/>
                <w:highlight w:val="none"/>
              </w:rPr>
            </w:pPr>
            <w:r>
              <w:rPr>
                <w:rFonts w:ascii="Times New Roman" w:hAnsi="Times New Roman"/>
                <w:highlight w:val="none"/>
              </w:rPr>
              <w:t>评审因素与评审标准</w:t>
            </w:r>
          </w:p>
        </w:tc>
      </w:tr>
      <w:tr w14:paraId="31A0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967" w:hRule="atLeast"/>
        </w:trPr>
        <w:tc>
          <w:tcPr>
            <w:tcW w:w="425" w:type="pct"/>
            <w:vAlign w:val="center"/>
          </w:tcPr>
          <w:p w14:paraId="16DB982D">
            <w:pPr>
              <w:jc w:val="center"/>
              <w:rPr>
                <w:rFonts w:ascii="Times New Roman" w:hAnsi="Times New Roman"/>
                <w:highlight w:val="none"/>
              </w:rPr>
            </w:pPr>
            <w:r>
              <w:rPr>
                <w:rFonts w:ascii="Times New Roman" w:hAnsi="Times New Roman"/>
                <w:highlight w:val="none"/>
              </w:rPr>
              <w:t>1</w:t>
            </w:r>
          </w:p>
        </w:tc>
        <w:tc>
          <w:tcPr>
            <w:tcW w:w="589" w:type="pct"/>
            <w:vAlign w:val="center"/>
          </w:tcPr>
          <w:p w14:paraId="58088BEB">
            <w:pPr>
              <w:jc w:val="center"/>
              <w:rPr>
                <w:rFonts w:ascii="Times New Roman" w:hAnsi="Times New Roman"/>
                <w:highlight w:val="none"/>
              </w:rPr>
            </w:pPr>
            <w:r>
              <w:rPr>
                <w:rFonts w:ascii="Times New Roman" w:hAnsi="Times New Roman"/>
                <w:highlight w:val="none"/>
              </w:rPr>
              <w:t>评标方法</w:t>
            </w:r>
          </w:p>
        </w:tc>
        <w:tc>
          <w:tcPr>
            <w:tcW w:w="3981" w:type="pct"/>
            <w:gridSpan w:val="2"/>
            <w:vAlign w:val="center"/>
          </w:tcPr>
          <w:p w14:paraId="552BCBC5">
            <w:pPr>
              <w:spacing w:line="288" w:lineRule="auto"/>
              <w:ind w:firstLine="404" w:firstLineChars="200"/>
              <w:jc w:val="left"/>
              <w:rPr>
                <w:rFonts w:hint="eastAsia" w:ascii="宋体" w:hAnsi="宋体" w:eastAsia="宋体" w:cs="宋体"/>
                <w:color w:val="000000"/>
                <w:spacing w:val="-4"/>
                <w:sz w:val="21"/>
                <w:szCs w:val="21"/>
                <w:highlight w:val="none"/>
              </w:rPr>
            </w:pPr>
            <w:r>
              <w:rPr>
                <w:rFonts w:hint="eastAsia" w:ascii="宋体" w:hAnsi="宋体" w:eastAsia="宋体" w:cs="宋体"/>
                <w:color w:val="000000"/>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7FC31EE4">
            <w:pPr>
              <w:spacing w:line="288" w:lineRule="auto"/>
              <w:ind w:left="205" w:leftChars="97" w:hanging="1"/>
              <w:jc w:val="left"/>
              <w:rPr>
                <w:rFonts w:hint="eastAsia" w:ascii="宋体" w:hAnsi="宋体" w:eastAsia="宋体" w:cs="宋体"/>
                <w:color w:val="000000"/>
                <w:spacing w:val="-4"/>
                <w:sz w:val="21"/>
                <w:szCs w:val="21"/>
                <w:highlight w:val="none"/>
              </w:rPr>
            </w:pPr>
            <w:r>
              <w:rPr>
                <w:rFonts w:hint="eastAsia" w:ascii="宋体" w:hAnsi="宋体" w:eastAsia="宋体" w:cs="宋体"/>
                <w:color w:val="000000"/>
                <w:spacing w:val="-4"/>
                <w:sz w:val="21"/>
                <w:szCs w:val="21"/>
                <w:highlight w:val="none"/>
              </w:rPr>
              <w:t>（1）评标价低的投标人优先；</w:t>
            </w:r>
          </w:p>
          <w:p w14:paraId="0DFEE321">
            <w:pPr>
              <w:spacing w:line="288" w:lineRule="auto"/>
              <w:ind w:left="205" w:leftChars="97" w:hanging="1"/>
              <w:jc w:val="left"/>
              <w:rPr>
                <w:rFonts w:hint="eastAsia" w:ascii="宋体" w:hAnsi="宋体" w:eastAsia="宋体" w:cs="宋体"/>
                <w:color w:val="000000"/>
                <w:spacing w:val="-4"/>
                <w:sz w:val="21"/>
                <w:szCs w:val="21"/>
                <w:highlight w:val="none"/>
              </w:rPr>
            </w:pPr>
            <w:r>
              <w:rPr>
                <w:rFonts w:hint="eastAsia" w:ascii="宋体" w:hAnsi="宋体" w:eastAsia="宋体" w:cs="宋体"/>
                <w:color w:val="000000"/>
                <w:spacing w:val="-4"/>
                <w:sz w:val="21"/>
                <w:szCs w:val="21"/>
                <w:highlight w:val="none"/>
              </w:rPr>
              <w:t>（2）实施方案得分较高的投标人优先；</w:t>
            </w:r>
          </w:p>
          <w:p w14:paraId="2BE39199">
            <w:pPr>
              <w:keepNext w:val="0"/>
              <w:keepLines w:val="0"/>
              <w:pageBreakBefore w:val="0"/>
              <w:widowControl w:val="0"/>
              <w:kinsoku/>
              <w:wordWrap/>
              <w:overflowPunct/>
              <w:topLinePunct w:val="0"/>
              <w:autoSpaceDE/>
              <w:autoSpaceDN/>
              <w:bidi w:val="0"/>
              <w:adjustRightInd/>
              <w:snapToGrid/>
              <w:spacing w:line="320" w:lineRule="exact"/>
              <w:ind w:firstLine="202" w:firstLineChars="100"/>
              <w:textAlignment w:val="auto"/>
              <w:rPr>
                <w:rFonts w:ascii="Times New Roman" w:hAnsi="Times New Roman"/>
                <w:highlight w:val="none"/>
              </w:rPr>
            </w:pPr>
            <w:r>
              <w:rPr>
                <w:rFonts w:hint="eastAsia" w:ascii="宋体" w:hAnsi="宋体" w:eastAsia="宋体" w:cs="宋体"/>
                <w:color w:val="000000"/>
                <w:spacing w:val="-4"/>
                <w:sz w:val="21"/>
                <w:szCs w:val="21"/>
                <w:highlight w:val="none"/>
              </w:rPr>
              <w:t>（3）投标人满足资格审查条件（业绩最低条件）要求的业绩金额累计较高的优先。</w:t>
            </w:r>
          </w:p>
        </w:tc>
      </w:tr>
      <w:tr w14:paraId="458C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Pr>
        <w:tc>
          <w:tcPr>
            <w:tcW w:w="425" w:type="pct"/>
            <w:vAlign w:val="center"/>
          </w:tcPr>
          <w:p w14:paraId="23726FBB">
            <w:pPr>
              <w:jc w:val="center"/>
              <w:rPr>
                <w:rFonts w:ascii="Times New Roman" w:hAnsi="Times New Roman"/>
                <w:highlight w:val="none"/>
              </w:rPr>
            </w:pPr>
            <w:r>
              <w:rPr>
                <w:rFonts w:ascii="Times New Roman" w:hAnsi="Times New Roman"/>
                <w:highlight w:val="none"/>
              </w:rPr>
              <w:t>2.1.1</w:t>
            </w:r>
          </w:p>
          <w:p w14:paraId="122FD458">
            <w:pPr>
              <w:jc w:val="center"/>
              <w:rPr>
                <w:rFonts w:ascii="Times New Roman" w:hAnsi="Times New Roman"/>
                <w:highlight w:val="none"/>
              </w:rPr>
            </w:pPr>
            <w:r>
              <w:rPr>
                <w:rFonts w:ascii="Times New Roman" w:hAnsi="Times New Roman"/>
                <w:highlight w:val="none"/>
              </w:rPr>
              <w:t>2.1.3</w:t>
            </w:r>
          </w:p>
        </w:tc>
        <w:tc>
          <w:tcPr>
            <w:tcW w:w="589" w:type="pct"/>
            <w:vAlign w:val="center"/>
          </w:tcPr>
          <w:p w14:paraId="794D0944">
            <w:pPr>
              <w:jc w:val="center"/>
              <w:rPr>
                <w:rFonts w:ascii="Times New Roman" w:hAnsi="Times New Roman"/>
                <w:highlight w:val="none"/>
              </w:rPr>
            </w:pPr>
            <w:r>
              <w:rPr>
                <w:rFonts w:ascii="Times New Roman" w:hAnsi="Times New Roman"/>
                <w:highlight w:val="none"/>
              </w:rPr>
              <w:t>形式评审与响应性评审标准</w:t>
            </w:r>
          </w:p>
        </w:tc>
        <w:tc>
          <w:tcPr>
            <w:tcW w:w="3981" w:type="pct"/>
            <w:gridSpan w:val="2"/>
          </w:tcPr>
          <w:p w14:paraId="3C4A5EE7">
            <w:pPr>
              <w:tabs>
                <w:tab w:val="left" w:pos="3060"/>
              </w:tabs>
              <w:spacing w:line="320" w:lineRule="exact"/>
              <w:rPr>
                <w:rFonts w:ascii="Times New Roman" w:hAnsi="Times New Roman"/>
                <w:b/>
                <w:szCs w:val="21"/>
                <w:highlight w:val="none"/>
              </w:rPr>
            </w:pPr>
            <w:r>
              <w:rPr>
                <w:rFonts w:ascii="Times New Roman" w:hAnsi="Times New Roman"/>
                <w:b/>
                <w:szCs w:val="21"/>
                <w:highlight w:val="none"/>
              </w:rPr>
              <w:t>第一个信封（商务及技术文件）评审标准：</w:t>
            </w:r>
          </w:p>
          <w:p w14:paraId="51A483C0">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（1）投标文件按照招标文件规定的格式、内容填写，字迹清晰可辨：</w:t>
            </w:r>
          </w:p>
          <w:p w14:paraId="51725AC6">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a．投标函按招标文件规定填报了招标人名称、项目名称、补遗书编号（如有）、项目负责人相关信息、服务期限</w:t>
            </w:r>
            <w:r>
              <w:rPr>
                <w:rFonts w:hint="eastAsia" w:ascii="Times New Roman" w:hAnsi="Times New Roman"/>
                <w:szCs w:val="21"/>
                <w:highlight w:val="none"/>
                <w:lang w:eastAsia="zh-CN"/>
              </w:rPr>
              <w:t>、</w:t>
            </w:r>
            <w:r>
              <w:rPr>
                <w:rFonts w:hint="eastAsia" w:ascii="Times New Roman" w:hAnsi="Times New Roman"/>
                <w:szCs w:val="21"/>
                <w:highlight w:val="none"/>
                <w:lang w:val="en-US" w:eastAsia="zh-CN"/>
              </w:rPr>
              <w:t>质量要求、安全目标</w:t>
            </w:r>
            <w:r>
              <w:rPr>
                <w:rFonts w:ascii="Times New Roman" w:hAnsi="Times New Roman"/>
                <w:szCs w:val="21"/>
                <w:highlight w:val="none"/>
              </w:rPr>
              <w:t>等内容；</w:t>
            </w:r>
          </w:p>
          <w:p w14:paraId="212FEAE1">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b．投标文件组成齐全完整，内容均按规定填写。</w:t>
            </w:r>
          </w:p>
          <w:p w14:paraId="0424C8DA">
            <w:pPr>
              <w:tabs>
                <w:tab w:val="left" w:pos="3060"/>
              </w:tabs>
              <w:spacing w:line="320" w:lineRule="exact"/>
              <w:ind w:firstLine="210" w:firstLineChars="1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（2）投标文件上法定代表人或其授权代理人的签字、投标人的单位章盖章齐全，符合招标文件规定。</w:t>
            </w:r>
          </w:p>
          <w:p w14:paraId="48D5B856">
            <w:pPr>
              <w:tabs>
                <w:tab w:val="left" w:pos="3060"/>
              </w:tabs>
              <w:spacing w:line="320" w:lineRule="exact"/>
              <w:ind w:firstLine="210" w:firstLineChars="1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（3）投标人按照招标文件的规定提供了投标保证金，并符合投标人须知前附表3.4.1项的相关规定。</w:t>
            </w:r>
          </w:p>
          <w:p w14:paraId="06B81034">
            <w:pPr>
              <w:tabs>
                <w:tab w:val="left" w:pos="3060"/>
              </w:tabs>
              <w:spacing w:line="320" w:lineRule="exact"/>
              <w:ind w:firstLine="210" w:firstLineChars="1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（4）投标人法定代表人授权委托代理人签署投标文件的，须提交授权委托书，</w:t>
            </w:r>
            <w:r>
              <w:rPr>
                <w:rFonts w:hint="eastAsia" w:ascii="宋体" w:hAnsi="宋体" w:cs="宋体"/>
                <w:color w:val="000000"/>
                <w:sz w:val="21"/>
                <w:szCs w:val="21"/>
                <w:highlight w:val="none"/>
                <w:lang w:val="en-US" w:eastAsia="zh-CN"/>
              </w:rPr>
              <w:t>授权委托书的签字盖章符合招标文件规定</w:t>
            </w:r>
            <w:r>
              <w:rPr>
                <w:rFonts w:hint="eastAsia" w:ascii="宋体" w:hAnsi="宋体" w:cs="宋体"/>
                <w:color w:val="000000"/>
                <w:sz w:val="21"/>
                <w:szCs w:val="21"/>
                <w:highlight w:val="none"/>
                <w:lang w:eastAsia="zh-CN"/>
              </w:rPr>
              <w:t>。</w:t>
            </w:r>
          </w:p>
          <w:p w14:paraId="5DDD0B3B">
            <w:pPr>
              <w:tabs>
                <w:tab w:val="left" w:pos="3060"/>
              </w:tabs>
              <w:spacing w:line="320" w:lineRule="exact"/>
              <w:ind w:firstLine="210" w:firstLineChars="1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（5）投标人法定代表人亲自签署投标文件的，提供了法定代表人身份证明，</w:t>
            </w:r>
            <w:r>
              <w:rPr>
                <w:rFonts w:hint="eastAsia" w:ascii="宋体" w:hAnsi="宋体" w:cs="宋体"/>
                <w:color w:val="auto"/>
                <w:sz w:val="21"/>
                <w:szCs w:val="21"/>
                <w:highlight w:val="none"/>
              </w:rPr>
              <w:t>法定代表人身份证明的签字盖章符合招标文件规定。</w:t>
            </w:r>
            <w:r>
              <w:rPr>
                <w:rFonts w:hint="eastAsia" w:ascii="宋体" w:hAnsi="宋体" w:eastAsia="宋体" w:cs="宋体"/>
                <w:color w:val="000000"/>
                <w:sz w:val="21"/>
                <w:szCs w:val="21"/>
                <w:highlight w:val="none"/>
              </w:rPr>
              <w:t>。</w:t>
            </w:r>
          </w:p>
          <w:p w14:paraId="220D8C36">
            <w:pPr>
              <w:tabs>
                <w:tab w:val="left" w:pos="3060"/>
              </w:tabs>
              <w:spacing w:line="320" w:lineRule="exact"/>
              <w:ind w:firstLine="210" w:firstLineChars="1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r>
              <w:rPr>
                <w:rFonts w:hint="eastAsia" w:ascii="宋体" w:hAnsi="宋体" w:cs="宋体"/>
                <w:spacing w:val="-4"/>
                <w:szCs w:val="21"/>
                <w:highlight w:val="none"/>
              </w:rPr>
              <w:t>投标人以联合体形式投标时，联合体满足招标文件的要求。投标人按照招标文件提供的格式签订了联合体协议书，明确各方承担连带责任，并明确了联合体牵头人</w:t>
            </w:r>
            <w:r>
              <w:rPr>
                <w:rFonts w:hint="eastAsia" w:ascii="宋体" w:hAnsi="宋体" w:eastAsia="宋体" w:cs="宋体"/>
                <w:color w:val="000000"/>
                <w:sz w:val="21"/>
                <w:szCs w:val="21"/>
                <w:highlight w:val="none"/>
              </w:rPr>
              <w:t>。</w:t>
            </w:r>
          </w:p>
          <w:p w14:paraId="0F0DEC9F">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（7）投标人未对本项目提出分包计划。</w:t>
            </w:r>
          </w:p>
          <w:p w14:paraId="70F70C72">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（8）同一投标人未提交两个以上不同的投标文件。</w:t>
            </w:r>
          </w:p>
          <w:p w14:paraId="081A8D8D">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（9）投标文件中未出现有关投标报价的内容。</w:t>
            </w:r>
          </w:p>
          <w:p w14:paraId="4F4D93D5">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（10）投标文件载明的招标项目完成期限未超过招标文件规定的时限。</w:t>
            </w:r>
          </w:p>
          <w:p w14:paraId="32978E22">
            <w:pPr>
              <w:tabs>
                <w:tab w:val="left" w:pos="3060"/>
              </w:tabs>
              <w:spacing w:line="320" w:lineRule="exact"/>
              <w:ind w:firstLine="210" w:firstLineChars="100"/>
              <w:rPr>
                <w:highlight w:val="none"/>
              </w:rPr>
            </w:pPr>
            <w:r>
              <w:rPr>
                <w:rFonts w:ascii="Times New Roman" w:hAnsi="Times New Roman"/>
                <w:szCs w:val="21"/>
                <w:highlight w:val="none"/>
              </w:rPr>
              <w:t>（11）投标文件对招标文件的实质性要求和条件作出响应。</w:t>
            </w:r>
          </w:p>
          <w:p w14:paraId="446FAF53">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（12）权利义务符合招标文件规定：</w:t>
            </w:r>
          </w:p>
          <w:p w14:paraId="61F4E69B">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a.投标人应接受招标文件规定的风险划分原则，未提出新的风险划分办法；</w:t>
            </w:r>
          </w:p>
          <w:p w14:paraId="78CACD5E">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b.投标人未增加发包人的责任范围，或减少投标人义务；</w:t>
            </w:r>
          </w:p>
          <w:p w14:paraId="03ED501E">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c.投标人未提出不同的支付办法；</w:t>
            </w:r>
          </w:p>
          <w:p w14:paraId="05BDDBBC">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d.投标人对合同纠纷、事故处理办法未提出异议；</w:t>
            </w:r>
          </w:p>
          <w:p w14:paraId="068446C1">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e.投标人在投标活动中无欺诈行为；</w:t>
            </w:r>
          </w:p>
          <w:p w14:paraId="472E661E">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f.投标人未对合同条款有重要保留。</w:t>
            </w:r>
          </w:p>
          <w:p w14:paraId="14ADF43C">
            <w:pPr>
              <w:tabs>
                <w:tab w:val="left" w:pos="3060"/>
              </w:tabs>
              <w:spacing w:line="320" w:lineRule="exact"/>
              <w:rPr>
                <w:rFonts w:ascii="Times New Roman" w:hAnsi="Times New Roman"/>
                <w:b/>
                <w:szCs w:val="21"/>
                <w:highlight w:val="none"/>
              </w:rPr>
            </w:pPr>
            <w:r>
              <w:rPr>
                <w:rFonts w:ascii="Times New Roman" w:hAnsi="Times New Roman"/>
                <w:b/>
                <w:szCs w:val="21"/>
                <w:highlight w:val="none"/>
              </w:rPr>
              <w:t>第二个信封（报价文件）评审标准：</w:t>
            </w:r>
          </w:p>
          <w:p w14:paraId="05C2702C">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（1）投标文件按照招标文件规定的格式、内容填写，字迹清晰可辨，内容齐全完整：</w:t>
            </w:r>
          </w:p>
          <w:p w14:paraId="4D942131">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a．投标函按招标文件规定填报了招标人名称、项目名称、补遗书编号（如有）、投标价（包括大写金额和小写金额）；</w:t>
            </w:r>
          </w:p>
          <w:p w14:paraId="51947472">
            <w:pPr>
              <w:tabs>
                <w:tab w:val="left" w:pos="3060"/>
              </w:tabs>
              <w:spacing w:line="320" w:lineRule="exact"/>
              <w:ind w:firstLine="420" w:firstLineChars="200"/>
              <w:rPr>
                <w:rFonts w:ascii="Times New Roman" w:hAnsi="Times New Roman"/>
                <w:szCs w:val="21"/>
                <w:highlight w:val="none"/>
              </w:rPr>
            </w:pPr>
            <w:r>
              <w:rPr>
                <w:rFonts w:hint="eastAsia" w:ascii="Times New Roman" w:hAnsi="Times New Roman"/>
                <w:szCs w:val="21"/>
                <w:highlight w:val="none"/>
                <w:lang w:val="en-US" w:eastAsia="zh-CN"/>
              </w:rPr>
              <w:t>b</w:t>
            </w:r>
            <w:r>
              <w:rPr>
                <w:rFonts w:ascii="Times New Roman" w:hAnsi="Times New Roman"/>
                <w:szCs w:val="21"/>
                <w:highlight w:val="none"/>
              </w:rPr>
              <w:t>．投标文件组成齐全完整，内容均按规定填写。</w:t>
            </w:r>
          </w:p>
          <w:p w14:paraId="5B151D7A">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（2）投标文件上法定代表人或其授权代理人的签字、投标人的单位章盖章齐全，符合招标文件规定。</w:t>
            </w:r>
          </w:p>
          <w:p w14:paraId="6206C62A">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（3）投标报价未超过招标文件设定的最高投标限价</w:t>
            </w:r>
            <w:r>
              <w:rPr>
                <w:rFonts w:hint="eastAsia" w:ascii="Times New Roman" w:hAnsi="Times New Roman"/>
                <w:bCs/>
                <w:szCs w:val="21"/>
                <w:highlight w:val="none"/>
                <w:lang w:eastAsia="zh-CN"/>
              </w:rPr>
              <w:t>，效益审计费用未修改</w:t>
            </w:r>
            <w:r>
              <w:rPr>
                <w:rFonts w:ascii="Times New Roman" w:hAnsi="Times New Roman"/>
                <w:bCs/>
                <w:szCs w:val="21"/>
                <w:highlight w:val="none"/>
              </w:rPr>
              <w:t>。</w:t>
            </w:r>
          </w:p>
          <w:p w14:paraId="77749132">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（4）投标报价的大写金额能够确定具体数值。</w:t>
            </w:r>
          </w:p>
          <w:p w14:paraId="5F6D37AF">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（5）投标人未提交两个以上不同的投标报价。</w:t>
            </w:r>
          </w:p>
          <w:p w14:paraId="5D652572">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（6）投标人未提交调价函。</w:t>
            </w:r>
          </w:p>
        </w:tc>
      </w:tr>
      <w:tr w14:paraId="5183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006" w:hRule="atLeast"/>
        </w:trPr>
        <w:tc>
          <w:tcPr>
            <w:tcW w:w="425" w:type="pct"/>
            <w:vAlign w:val="center"/>
          </w:tcPr>
          <w:p w14:paraId="5C4544C4">
            <w:pPr>
              <w:jc w:val="center"/>
              <w:rPr>
                <w:rFonts w:ascii="Times New Roman" w:hAnsi="Times New Roman"/>
                <w:highlight w:val="none"/>
              </w:rPr>
            </w:pPr>
            <w:r>
              <w:rPr>
                <w:rFonts w:ascii="Times New Roman" w:hAnsi="Times New Roman"/>
                <w:highlight w:val="none"/>
              </w:rPr>
              <w:t>2.1.2</w:t>
            </w:r>
          </w:p>
        </w:tc>
        <w:tc>
          <w:tcPr>
            <w:tcW w:w="589" w:type="pct"/>
            <w:vAlign w:val="center"/>
          </w:tcPr>
          <w:p w14:paraId="615F3628">
            <w:pPr>
              <w:keepNext w:val="0"/>
              <w:keepLines w:val="0"/>
              <w:pageBreakBefore w:val="0"/>
              <w:widowControl w:val="0"/>
              <w:tabs>
                <w:tab w:val="left" w:pos="3060"/>
              </w:tabs>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szCs w:val="21"/>
                <w:highlight w:val="none"/>
              </w:rPr>
            </w:pPr>
            <w:r>
              <w:rPr>
                <w:rFonts w:ascii="Times New Roman" w:hAnsi="Times New Roman"/>
                <w:highlight w:val="none"/>
              </w:rPr>
              <w:t>资格评审标准</w:t>
            </w:r>
          </w:p>
        </w:tc>
        <w:tc>
          <w:tcPr>
            <w:tcW w:w="3981" w:type="pct"/>
            <w:gridSpan w:val="2"/>
          </w:tcPr>
          <w:p w14:paraId="63451ECB">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（1）投标人具备有效的营业执照、组织机构代码证（三证合一的除外）、资质证书和基本账户开户许可证（或基本存款账户信息）；</w:t>
            </w:r>
          </w:p>
          <w:p w14:paraId="4E18BE9F">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（2）投标人的资质等级符合招标文件规定；</w:t>
            </w:r>
          </w:p>
          <w:p w14:paraId="209AA4CC">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（3）投标人的类似项目业绩符合招标文件规定；</w:t>
            </w:r>
          </w:p>
          <w:p w14:paraId="6BFEC9B8">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（4）投标人的信誉符合招标文件规定；</w:t>
            </w:r>
          </w:p>
          <w:p w14:paraId="506B5018">
            <w:pPr>
              <w:tabs>
                <w:tab w:val="left" w:pos="3060"/>
              </w:tabs>
              <w:spacing w:line="320" w:lineRule="exact"/>
              <w:ind w:firstLine="105" w:firstLineChars="50"/>
              <w:rPr>
                <w:rFonts w:hint="eastAsia" w:ascii="Times New Roman" w:hAnsi="Times New Roman"/>
                <w:szCs w:val="21"/>
                <w:highlight w:val="none"/>
              </w:rPr>
            </w:pPr>
            <w:r>
              <w:rPr>
                <w:rFonts w:hint="eastAsia" w:ascii="Times New Roman" w:hAnsi="Times New Roman"/>
                <w:szCs w:val="21"/>
                <w:highlight w:val="none"/>
              </w:rPr>
              <w:t>（5）投标人的</w:t>
            </w:r>
            <w:r>
              <w:rPr>
                <w:rFonts w:hint="eastAsia" w:ascii="Times New Roman" w:hAnsi="Times New Roman"/>
                <w:szCs w:val="21"/>
                <w:highlight w:val="none"/>
                <w:lang w:val="en-US" w:eastAsia="zh-CN"/>
              </w:rPr>
              <w:t>项目负责人</w:t>
            </w:r>
            <w:r>
              <w:rPr>
                <w:rFonts w:hint="eastAsia" w:ascii="Times New Roman" w:hAnsi="Times New Roman"/>
                <w:szCs w:val="21"/>
                <w:highlight w:val="none"/>
              </w:rPr>
              <w:t>资格符合招标文件规定；</w:t>
            </w:r>
          </w:p>
          <w:p w14:paraId="27FA457B">
            <w:pPr>
              <w:tabs>
                <w:tab w:val="left" w:pos="3060"/>
              </w:tabs>
              <w:spacing w:line="320" w:lineRule="exact"/>
              <w:ind w:firstLine="105" w:firstLineChars="50"/>
              <w:rPr>
                <w:rFonts w:hint="eastAsia" w:ascii="Times New Roman" w:hAnsi="Times New Roman"/>
                <w:szCs w:val="21"/>
                <w:highlight w:val="none"/>
              </w:rPr>
            </w:pPr>
            <w:r>
              <w:rPr>
                <w:rFonts w:hint="eastAsia" w:ascii="Times New Roman" w:hAnsi="Times New Roman"/>
                <w:szCs w:val="21"/>
                <w:highlight w:val="none"/>
              </w:rPr>
              <w:t>（</w:t>
            </w:r>
            <w:r>
              <w:rPr>
                <w:rFonts w:hint="eastAsia" w:ascii="Times New Roman" w:hAnsi="Times New Roman"/>
                <w:szCs w:val="21"/>
                <w:highlight w:val="none"/>
                <w:lang w:val="en-US" w:eastAsia="zh-CN"/>
              </w:rPr>
              <w:t>6</w:t>
            </w:r>
            <w:r>
              <w:rPr>
                <w:rFonts w:hint="eastAsia" w:ascii="Times New Roman" w:hAnsi="Times New Roman"/>
                <w:szCs w:val="21"/>
                <w:highlight w:val="none"/>
              </w:rPr>
              <w:t>）投标人的</w:t>
            </w:r>
            <w:r>
              <w:rPr>
                <w:rFonts w:hint="eastAsia" w:ascii="Times New Roman" w:hAnsi="Times New Roman"/>
                <w:szCs w:val="21"/>
                <w:highlight w:val="none"/>
                <w:lang w:val="en-US" w:eastAsia="zh-CN"/>
              </w:rPr>
              <w:t>其他</w:t>
            </w:r>
            <w:r>
              <w:rPr>
                <w:rFonts w:hint="eastAsia" w:ascii="Times New Roman" w:hAnsi="Times New Roman"/>
                <w:szCs w:val="21"/>
                <w:highlight w:val="none"/>
              </w:rPr>
              <w:t>人员资格符合招标文件规定；</w:t>
            </w:r>
          </w:p>
          <w:p w14:paraId="478864BC">
            <w:pPr>
              <w:tabs>
                <w:tab w:val="left" w:pos="3060"/>
              </w:tabs>
              <w:spacing w:line="320" w:lineRule="exact"/>
              <w:ind w:firstLine="105" w:firstLineChars="5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7</w:t>
            </w:r>
            <w:r>
              <w:rPr>
                <w:rFonts w:hint="eastAsia" w:ascii="Times New Roman" w:hAnsi="Times New Roman" w:eastAsia="宋体" w:cs="Times New Roman"/>
                <w:szCs w:val="21"/>
                <w:highlight w:val="none"/>
              </w:rPr>
              <w:t>）投标人的</w:t>
            </w:r>
            <w:r>
              <w:rPr>
                <w:rFonts w:hint="eastAsia" w:ascii="Times New Roman" w:hAnsi="Times New Roman" w:eastAsia="宋体" w:cs="Times New Roman"/>
                <w:szCs w:val="21"/>
                <w:highlight w:val="none"/>
                <w:lang w:val="en-US" w:eastAsia="zh-CN"/>
              </w:rPr>
              <w:t>其他要求</w:t>
            </w:r>
            <w:r>
              <w:rPr>
                <w:rFonts w:hint="eastAsia" w:ascii="Times New Roman" w:hAnsi="Times New Roman" w:eastAsia="宋体" w:cs="Times New Roman"/>
                <w:szCs w:val="21"/>
                <w:highlight w:val="none"/>
              </w:rPr>
              <w:t>符合招标文件规定；</w:t>
            </w:r>
          </w:p>
          <w:p w14:paraId="35DF0BE0">
            <w:pPr>
              <w:tabs>
                <w:tab w:val="left" w:pos="3060"/>
              </w:tabs>
              <w:spacing w:line="320" w:lineRule="exact"/>
              <w:ind w:firstLine="105" w:firstLineChars="50"/>
              <w:rPr>
                <w:rFonts w:hint="eastAsia" w:ascii="Times New Roman" w:hAnsi="Times New Roman"/>
                <w:szCs w:val="21"/>
                <w:highlight w:val="none"/>
              </w:rPr>
            </w:pPr>
            <w:r>
              <w:rPr>
                <w:rFonts w:hint="eastAsia" w:ascii="Times New Roman" w:hAnsi="Times New Roman"/>
                <w:szCs w:val="21"/>
                <w:highlight w:val="none"/>
              </w:rPr>
              <w:t>（</w:t>
            </w:r>
            <w:r>
              <w:rPr>
                <w:rFonts w:hint="eastAsia" w:ascii="Times New Roman" w:hAnsi="Times New Roman"/>
                <w:szCs w:val="21"/>
                <w:highlight w:val="none"/>
                <w:lang w:val="en-US" w:eastAsia="zh-CN"/>
              </w:rPr>
              <w:t>8</w:t>
            </w:r>
            <w:r>
              <w:rPr>
                <w:rFonts w:hint="eastAsia" w:ascii="Times New Roman" w:hAnsi="Times New Roman"/>
                <w:szCs w:val="21"/>
                <w:highlight w:val="none"/>
              </w:rPr>
              <w:t>）投标人不存在第二章“投标人须知”1.4.3项或第1.4.4项规定的任何一种情形。</w:t>
            </w:r>
          </w:p>
          <w:p w14:paraId="660C2446">
            <w:pPr>
              <w:tabs>
                <w:tab w:val="left" w:pos="3060"/>
              </w:tabs>
              <w:spacing w:line="320" w:lineRule="exact"/>
              <w:ind w:firstLine="105" w:firstLineChars="50"/>
              <w:rPr>
                <w:rFonts w:ascii="Times New Roman" w:hAnsi="Times New Roman"/>
                <w:szCs w:val="21"/>
                <w:highlight w:val="none"/>
              </w:rPr>
            </w:pPr>
            <w:r>
              <w:rPr>
                <w:rFonts w:hint="eastAsia" w:ascii="Times New Roman" w:hAnsi="Times New Roman"/>
                <w:szCs w:val="21"/>
                <w:highlight w:val="none"/>
              </w:rPr>
              <w:t>（</w:t>
            </w:r>
            <w:r>
              <w:rPr>
                <w:rFonts w:hint="eastAsia" w:ascii="Times New Roman" w:hAnsi="Times New Roman"/>
                <w:szCs w:val="21"/>
                <w:highlight w:val="none"/>
                <w:lang w:val="en-US" w:eastAsia="zh-CN"/>
              </w:rPr>
              <w:t>9</w:t>
            </w:r>
            <w:r>
              <w:rPr>
                <w:rFonts w:hint="eastAsia" w:ascii="Times New Roman" w:hAnsi="Times New Roman"/>
                <w:szCs w:val="21"/>
                <w:highlight w:val="none"/>
              </w:rPr>
              <w:t>）以联合体形式参与投标的，</w:t>
            </w:r>
            <w:r>
              <w:rPr>
                <w:rFonts w:hint="eastAsia" w:ascii="Times New Roman" w:hAnsi="Times New Roman"/>
                <w:szCs w:val="21"/>
                <w:highlight w:val="none"/>
                <w:lang w:val="en-US" w:eastAsia="zh-CN"/>
              </w:rPr>
              <w:t>应满足</w:t>
            </w:r>
            <w:r>
              <w:rPr>
                <w:rFonts w:hint="eastAsia" w:ascii="Times New Roman" w:hAnsi="Times New Roman"/>
                <w:szCs w:val="21"/>
                <w:highlight w:val="none"/>
              </w:rPr>
              <w:t>第二章“投标人须知”1.4.</w:t>
            </w:r>
            <w:r>
              <w:rPr>
                <w:rFonts w:hint="eastAsia" w:ascii="Times New Roman" w:hAnsi="Times New Roman"/>
                <w:szCs w:val="21"/>
                <w:highlight w:val="none"/>
                <w:lang w:val="en-US" w:eastAsia="zh-CN"/>
              </w:rPr>
              <w:t>2</w:t>
            </w:r>
            <w:r>
              <w:rPr>
                <w:rFonts w:hint="eastAsia" w:ascii="Times New Roman" w:hAnsi="Times New Roman"/>
                <w:szCs w:val="21"/>
                <w:highlight w:val="none"/>
              </w:rPr>
              <w:t>项</w:t>
            </w:r>
            <w:r>
              <w:rPr>
                <w:rFonts w:hint="eastAsia" w:ascii="Times New Roman" w:hAnsi="Times New Roman"/>
                <w:szCs w:val="21"/>
                <w:highlight w:val="none"/>
                <w:lang w:val="en-US" w:eastAsia="zh-CN"/>
              </w:rPr>
              <w:t>的要求</w:t>
            </w:r>
            <w:r>
              <w:rPr>
                <w:rFonts w:hint="eastAsia" w:ascii="Times New Roman" w:hAnsi="Times New Roman"/>
                <w:szCs w:val="21"/>
                <w:highlight w:val="none"/>
              </w:rPr>
              <w:t>。</w:t>
            </w:r>
          </w:p>
        </w:tc>
      </w:tr>
      <w:tr w14:paraId="71FF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Pr>
        <w:tc>
          <w:tcPr>
            <w:tcW w:w="425" w:type="pct"/>
            <w:vAlign w:val="center"/>
          </w:tcPr>
          <w:p w14:paraId="3568F0D5">
            <w:pPr>
              <w:jc w:val="center"/>
              <w:rPr>
                <w:rFonts w:ascii="Times New Roman" w:hAnsi="Times New Roman"/>
                <w:highlight w:val="none"/>
              </w:rPr>
            </w:pPr>
            <w:r>
              <w:rPr>
                <w:rFonts w:ascii="Times New Roman" w:hAnsi="Times New Roman"/>
                <w:highlight w:val="none"/>
              </w:rPr>
              <w:t>2.2.1</w:t>
            </w:r>
          </w:p>
        </w:tc>
        <w:tc>
          <w:tcPr>
            <w:tcW w:w="589" w:type="pct"/>
            <w:vAlign w:val="center"/>
          </w:tcPr>
          <w:p w14:paraId="767776F7">
            <w:pPr>
              <w:jc w:val="center"/>
              <w:rPr>
                <w:rFonts w:ascii="Times New Roman" w:hAnsi="Times New Roman"/>
                <w:highlight w:val="none"/>
              </w:rPr>
            </w:pPr>
            <w:r>
              <w:rPr>
                <w:rFonts w:ascii="Times New Roman" w:hAnsi="Times New Roman"/>
                <w:highlight w:val="none"/>
              </w:rPr>
              <w:t>分值构成（总分100分）</w:t>
            </w:r>
          </w:p>
        </w:tc>
        <w:tc>
          <w:tcPr>
            <w:tcW w:w="3981" w:type="pct"/>
            <w:gridSpan w:val="2"/>
            <w:vAlign w:val="center"/>
          </w:tcPr>
          <w:p w14:paraId="5B93A864">
            <w:pPr>
              <w:jc w:val="left"/>
              <w:rPr>
                <w:rFonts w:ascii="Times New Roman" w:hAnsi="Times New Roman"/>
                <w:b/>
                <w:highlight w:val="none"/>
              </w:rPr>
            </w:pPr>
            <w:r>
              <w:rPr>
                <w:rFonts w:ascii="Times New Roman" w:hAnsi="Times New Roman"/>
                <w:b/>
                <w:highlight w:val="none"/>
              </w:rPr>
              <w:t>第一个信封（商务及技术文件）评分分值构成：</w:t>
            </w:r>
          </w:p>
          <w:p w14:paraId="1DC1C2EA">
            <w:pPr>
              <w:jc w:val="left"/>
              <w:rPr>
                <w:rFonts w:hint="default" w:ascii="Times New Roman" w:hAnsi="Times New Roman"/>
                <w:b/>
                <w:highlight w:val="none"/>
                <w:lang w:val="en-US" w:eastAsia="zh-CN"/>
              </w:rPr>
            </w:pPr>
            <w:r>
              <w:rPr>
                <w:rFonts w:hint="eastAsia" w:ascii="Times New Roman" w:hAnsi="Times New Roman"/>
                <w:b/>
                <w:highlight w:val="none"/>
                <w:lang w:eastAsia="zh-CN"/>
              </w:rPr>
              <w:t>企业业绩：</w:t>
            </w:r>
            <w:r>
              <w:rPr>
                <w:rFonts w:hint="eastAsia" w:ascii="Times New Roman" w:hAnsi="Times New Roman"/>
                <w:b/>
                <w:highlight w:val="none"/>
                <w:u w:val="single"/>
                <w:lang w:val="en-US" w:eastAsia="zh-CN"/>
              </w:rPr>
              <w:t>20</w:t>
            </w:r>
            <w:r>
              <w:rPr>
                <w:rFonts w:hint="eastAsia" w:ascii="Times New Roman" w:hAnsi="Times New Roman"/>
                <w:b/>
                <w:highlight w:val="none"/>
                <w:lang w:val="en-US" w:eastAsia="zh-CN"/>
              </w:rPr>
              <w:t>分</w:t>
            </w:r>
          </w:p>
          <w:p w14:paraId="1338EC3D">
            <w:pPr>
              <w:jc w:val="left"/>
              <w:rPr>
                <w:rFonts w:ascii="Times New Roman" w:hAnsi="Times New Roman"/>
                <w:b/>
                <w:highlight w:val="none"/>
              </w:rPr>
            </w:pPr>
            <w:r>
              <w:rPr>
                <w:rFonts w:hint="eastAsia" w:ascii="Times New Roman" w:hAnsi="Times New Roman"/>
                <w:b/>
                <w:highlight w:val="none"/>
                <w:lang w:val="en-US" w:eastAsia="zh-CN"/>
              </w:rPr>
              <w:t>项目负责人</w:t>
            </w:r>
            <w:r>
              <w:rPr>
                <w:rFonts w:hint="eastAsia" w:ascii="Times New Roman" w:hAnsi="Times New Roman"/>
                <w:b/>
                <w:highlight w:val="none"/>
                <w:lang w:eastAsia="zh-CN"/>
              </w:rPr>
              <w:t>：</w:t>
            </w:r>
            <w:r>
              <w:rPr>
                <w:rFonts w:hint="eastAsia" w:ascii="Times New Roman" w:hAnsi="Times New Roman"/>
                <w:b/>
                <w:highlight w:val="none"/>
                <w:u w:val="single"/>
                <w:lang w:val="en-US" w:eastAsia="zh-CN"/>
              </w:rPr>
              <w:t>5</w:t>
            </w:r>
            <w:r>
              <w:rPr>
                <w:rFonts w:ascii="Times New Roman" w:hAnsi="Times New Roman"/>
                <w:b/>
                <w:highlight w:val="none"/>
              </w:rPr>
              <w:t>分</w:t>
            </w:r>
          </w:p>
          <w:p w14:paraId="332AFB13">
            <w:pPr>
              <w:jc w:val="left"/>
              <w:rPr>
                <w:rFonts w:ascii="Times New Roman" w:hAnsi="Times New Roman"/>
                <w:b/>
                <w:highlight w:val="none"/>
              </w:rPr>
            </w:pPr>
            <w:r>
              <w:rPr>
                <w:rFonts w:hint="eastAsia" w:ascii="Times New Roman" w:hAnsi="Times New Roman"/>
                <w:b/>
                <w:highlight w:val="none"/>
                <w:lang w:val="en-US" w:eastAsia="zh-CN"/>
              </w:rPr>
              <w:t>其他人员</w:t>
            </w:r>
            <w:r>
              <w:rPr>
                <w:rFonts w:hint="eastAsia" w:ascii="Times New Roman" w:hAnsi="Times New Roman"/>
                <w:b/>
                <w:highlight w:val="none"/>
                <w:lang w:eastAsia="zh-CN"/>
              </w:rPr>
              <w:t>：</w:t>
            </w:r>
            <w:r>
              <w:rPr>
                <w:rFonts w:hint="eastAsia" w:ascii="Times New Roman" w:hAnsi="Times New Roman"/>
                <w:b/>
                <w:highlight w:val="none"/>
                <w:u w:val="single"/>
                <w:lang w:val="en-US" w:eastAsia="zh-CN"/>
              </w:rPr>
              <w:t>10</w:t>
            </w:r>
            <w:r>
              <w:rPr>
                <w:rFonts w:ascii="Times New Roman" w:hAnsi="Times New Roman"/>
                <w:b/>
                <w:highlight w:val="none"/>
              </w:rPr>
              <w:t>分</w:t>
            </w:r>
          </w:p>
          <w:p w14:paraId="5B6CCE36">
            <w:pPr>
              <w:jc w:val="left"/>
              <w:rPr>
                <w:rFonts w:ascii="Times New Roman" w:hAnsi="Times New Roman"/>
                <w:b/>
                <w:highlight w:val="none"/>
              </w:rPr>
            </w:pPr>
            <w:r>
              <w:rPr>
                <w:rFonts w:hint="eastAsia" w:ascii="Times New Roman" w:hAnsi="Times New Roman"/>
                <w:b/>
                <w:highlight w:val="none"/>
                <w:lang w:eastAsia="zh-CN"/>
              </w:rPr>
              <w:t>实施方案</w:t>
            </w:r>
            <w:r>
              <w:rPr>
                <w:rFonts w:ascii="Times New Roman" w:hAnsi="Times New Roman"/>
                <w:b/>
                <w:highlight w:val="none"/>
              </w:rPr>
              <w:t>：</w:t>
            </w:r>
            <w:r>
              <w:rPr>
                <w:rFonts w:hint="eastAsia" w:ascii="Times New Roman" w:hAnsi="Times New Roman"/>
                <w:b/>
                <w:highlight w:val="none"/>
                <w:u w:val="single"/>
                <w:lang w:val="en-US" w:eastAsia="zh-CN"/>
              </w:rPr>
              <w:t>35</w:t>
            </w:r>
            <w:r>
              <w:rPr>
                <w:rFonts w:ascii="Times New Roman" w:hAnsi="Times New Roman"/>
                <w:b/>
                <w:highlight w:val="none"/>
              </w:rPr>
              <w:t>分</w:t>
            </w:r>
          </w:p>
          <w:p w14:paraId="0D84ADC8">
            <w:pPr>
              <w:jc w:val="left"/>
              <w:rPr>
                <w:rFonts w:ascii="Times New Roman" w:hAnsi="Times New Roman"/>
                <w:b/>
                <w:highlight w:val="none"/>
              </w:rPr>
            </w:pPr>
          </w:p>
          <w:p w14:paraId="6014C617">
            <w:pPr>
              <w:jc w:val="left"/>
              <w:rPr>
                <w:rFonts w:ascii="Times New Roman" w:hAnsi="Times New Roman"/>
                <w:b/>
                <w:highlight w:val="none"/>
              </w:rPr>
            </w:pPr>
            <w:r>
              <w:rPr>
                <w:rFonts w:ascii="Times New Roman" w:hAnsi="Times New Roman"/>
                <w:b/>
                <w:highlight w:val="none"/>
              </w:rPr>
              <w:t>第二个信封（报价文件）评分分值构成：</w:t>
            </w:r>
          </w:p>
          <w:p w14:paraId="362F649E">
            <w:pPr>
              <w:jc w:val="left"/>
              <w:rPr>
                <w:rFonts w:ascii="Times New Roman" w:hAnsi="Times New Roman"/>
                <w:b/>
                <w:highlight w:val="none"/>
              </w:rPr>
            </w:pPr>
            <w:r>
              <w:rPr>
                <w:rFonts w:ascii="Times New Roman" w:hAnsi="Times New Roman"/>
                <w:b/>
                <w:highlight w:val="none"/>
              </w:rPr>
              <w:t>评标价：</w:t>
            </w:r>
            <w:r>
              <w:rPr>
                <w:rFonts w:hint="eastAsia" w:ascii="Times New Roman" w:hAnsi="Times New Roman"/>
                <w:b/>
                <w:highlight w:val="none"/>
                <w:u w:val="single"/>
                <w:lang w:val="en-US" w:eastAsia="zh-CN"/>
              </w:rPr>
              <w:t>3</w:t>
            </w:r>
            <w:r>
              <w:rPr>
                <w:rFonts w:ascii="Times New Roman" w:hAnsi="Times New Roman"/>
                <w:b/>
                <w:highlight w:val="none"/>
                <w:u w:val="single"/>
              </w:rPr>
              <w:t>0</w:t>
            </w:r>
            <w:r>
              <w:rPr>
                <w:rFonts w:ascii="Times New Roman" w:hAnsi="Times New Roman"/>
                <w:b/>
                <w:highlight w:val="none"/>
              </w:rPr>
              <w:t>分</w:t>
            </w:r>
          </w:p>
        </w:tc>
      </w:tr>
      <w:tr w14:paraId="1FB3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57" w:hRule="atLeast"/>
        </w:trPr>
        <w:tc>
          <w:tcPr>
            <w:tcW w:w="425" w:type="pct"/>
            <w:vAlign w:val="center"/>
          </w:tcPr>
          <w:p w14:paraId="2EBBC054">
            <w:pPr>
              <w:jc w:val="center"/>
              <w:rPr>
                <w:rFonts w:ascii="Times New Roman" w:hAnsi="Times New Roman"/>
                <w:highlight w:val="none"/>
              </w:rPr>
            </w:pPr>
            <w:r>
              <w:rPr>
                <w:rFonts w:ascii="Times New Roman" w:hAnsi="Times New Roman"/>
                <w:highlight w:val="none"/>
              </w:rPr>
              <w:t>2.2.2</w:t>
            </w:r>
          </w:p>
        </w:tc>
        <w:tc>
          <w:tcPr>
            <w:tcW w:w="589" w:type="pct"/>
            <w:vAlign w:val="center"/>
          </w:tcPr>
          <w:p w14:paraId="49A26460">
            <w:pPr>
              <w:jc w:val="center"/>
              <w:rPr>
                <w:rFonts w:ascii="Times New Roman" w:hAnsi="Times New Roman"/>
                <w:highlight w:val="none"/>
              </w:rPr>
            </w:pPr>
            <w:r>
              <w:rPr>
                <w:rFonts w:ascii="Times New Roman" w:hAnsi="Times New Roman"/>
                <w:highlight w:val="none"/>
              </w:rPr>
              <w:t>评标基准价计算方法</w:t>
            </w:r>
          </w:p>
        </w:tc>
        <w:tc>
          <w:tcPr>
            <w:tcW w:w="3981" w:type="pct"/>
            <w:gridSpan w:val="2"/>
            <w:vAlign w:val="center"/>
          </w:tcPr>
          <w:p w14:paraId="66D29A15">
            <w:pPr>
              <w:snapToGrid w:val="0"/>
              <w:spacing w:line="320" w:lineRule="exact"/>
              <w:jc w:val="left"/>
              <w:rPr>
                <w:rFonts w:ascii="Times New Roman" w:hAnsi="Times New Roman"/>
                <w:b/>
                <w:highlight w:val="none"/>
              </w:rPr>
            </w:pPr>
            <w:r>
              <w:rPr>
                <w:rFonts w:ascii="Times New Roman" w:hAnsi="Times New Roman"/>
                <w:b/>
                <w:highlight w:val="none"/>
              </w:rPr>
              <w:t>评标基准价的计算：</w:t>
            </w:r>
          </w:p>
          <w:p w14:paraId="24EB943D">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在第二个信封开标现场，招标人当场计算并宣布评标基准价。</w:t>
            </w:r>
          </w:p>
          <w:p w14:paraId="2618D4AC">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(1)评标价的确定：</w:t>
            </w:r>
          </w:p>
          <w:p w14:paraId="7026F4D0">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评标价=投标函文字报价</w:t>
            </w:r>
          </w:p>
          <w:p w14:paraId="7B16675B">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(2)评标价平均值的计算：</w:t>
            </w:r>
          </w:p>
          <w:p w14:paraId="7AD024FD">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F460578">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(3)评标基准价的确定：</w:t>
            </w:r>
          </w:p>
          <w:p w14:paraId="31ACD6BB">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评标价平均值直接作为评标基准价（评标基准价保留小数点后两位，小数点后第三位四舍五入）。</w:t>
            </w:r>
          </w:p>
          <w:p w14:paraId="56F5C1C5">
            <w:pPr>
              <w:snapToGrid w:val="0"/>
              <w:spacing w:line="320" w:lineRule="exact"/>
              <w:ind w:firstLine="420" w:firstLineChars="200"/>
              <w:jc w:val="left"/>
              <w:rPr>
                <w:rFonts w:ascii="Times New Roman" w:hAnsi="Times New Roman"/>
                <w:szCs w:val="21"/>
                <w:highlight w:val="none"/>
              </w:rPr>
            </w:pPr>
            <w:r>
              <w:rPr>
                <w:rFonts w:hint="eastAsia" w:ascii="宋体" w:hAnsi="宋体" w:cs="宋体"/>
                <w:color w:val="auto"/>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B7C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1094" w:hRule="atLeast"/>
        </w:trPr>
        <w:tc>
          <w:tcPr>
            <w:tcW w:w="425" w:type="pct"/>
            <w:vAlign w:val="center"/>
          </w:tcPr>
          <w:p w14:paraId="37985FDF">
            <w:pPr>
              <w:jc w:val="center"/>
              <w:rPr>
                <w:rFonts w:ascii="Times New Roman" w:hAnsi="Times New Roman"/>
                <w:highlight w:val="none"/>
              </w:rPr>
            </w:pPr>
            <w:r>
              <w:rPr>
                <w:rFonts w:ascii="Times New Roman" w:hAnsi="Times New Roman"/>
                <w:highlight w:val="none"/>
              </w:rPr>
              <w:t>2.2.3</w:t>
            </w:r>
          </w:p>
        </w:tc>
        <w:tc>
          <w:tcPr>
            <w:tcW w:w="589" w:type="pct"/>
            <w:vAlign w:val="center"/>
          </w:tcPr>
          <w:p w14:paraId="6EFB020E">
            <w:pPr>
              <w:jc w:val="center"/>
              <w:rPr>
                <w:rFonts w:ascii="Times New Roman" w:hAnsi="Times New Roman"/>
                <w:highlight w:val="none"/>
              </w:rPr>
            </w:pPr>
            <w:r>
              <w:rPr>
                <w:rFonts w:ascii="Times New Roman" w:hAnsi="Times New Roman"/>
                <w:highlight w:val="none"/>
              </w:rPr>
              <w:t>评标价的偏差率计算公式</w:t>
            </w:r>
          </w:p>
        </w:tc>
        <w:tc>
          <w:tcPr>
            <w:tcW w:w="3981" w:type="pct"/>
            <w:gridSpan w:val="2"/>
            <w:vAlign w:val="center"/>
          </w:tcPr>
          <w:p w14:paraId="51B987D6">
            <w:pPr>
              <w:spacing w:line="320" w:lineRule="exact"/>
              <w:jc w:val="left"/>
              <w:rPr>
                <w:rFonts w:hint="eastAsia" w:ascii="Times New Roman" w:hAnsi="Times New Roman" w:eastAsia="宋体"/>
                <w:highlight w:val="none"/>
                <w:lang w:eastAsia="zh-CN"/>
              </w:rPr>
            </w:pPr>
            <w:r>
              <w:rPr>
                <w:rFonts w:hint="eastAsia" w:ascii="Times New Roman" w:hAnsi="Times New Roman"/>
                <w:highlight w:val="none"/>
                <w:lang w:val="en-US" w:eastAsia="zh-CN"/>
              </w:rPr>
              <w:t>不适用</w:t>
            </w:r>
          </w:p>
        </w:tc>
      </w:tr>
      <w:tr w14:paraId="2E83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535" w:hRule="atLeast"/>
        </w:trPr>
        <w:tc>
          <w:tcPr>
            <w:tcW w:w="425" w:type="pct"/>
            <w:vAlign w:val="center"/>
          </w:tcPr>
          <w:p w14:paraId="0EBCB5CE">
            <w:pPr>
              <w:jc w:val="center"/>
              <w:rPr>
                <w:rFonts w:ascii="Times New Roman" w:hAnsi="Times New Roman"/>
                <w:szCs w:val="21"/>
                <w:highlight w:val="none"/>
              </w:rPr>
            </w:pPr>
            <w:r>
              <w:rPr>
                <w:rFonts w:ascii="Times New Roman" w:hAnsi="Times New Roman"/>
                <w:highlight w:val="none"/>
              </w:rPr>
              <w:t>3.6.1</w:t>
            </w:r>
          </w:p>
        </w:tc>
        <w:tc>
          <w:tcPr>
            <w:tcW w:w="589" w:type="pct"/>
            <w:vAlign w:val="center"/>
          </w:tcPr>
          <w:p w14:paraId="15483EA6">
            <w:pPr>
              <w:adjustRightInd w:val="0"/>
              <w:snapToGrid w:val="0"/>
              <w:spacing w:line="300" w:lineRule="exact"/>
              <w:jc w:val="center"/>
              <w:rPr>
                <w:rFonts w:ascii="Times New Roman" w:hAnsi="Times New Roman"/>
                <w:highlight w:val="none"/>
              </w:rPr>
            </w:pPr>
            <w:r>
              <w:rPr>
                <w:rFonts w:ascii="Times New Roman" w:hAnsi="Times New Roman"/>
                <w:highlight w:val="none"/>
              </w:rPr>
              <w:t>信息</w:t>
            </w:r>
          </w:p>
          <w:p w14:paraId="0F97DA2C">
            <w:pPr>
              <w:adjustRightInd w:val="0"/>
              <w:snapToGrid w:val="0"/>
              <w:spacing w:line="300" w:lineRule="exact"/>
              <w:jc w:val="center"/>
              <w:rPr>
                <w:rFonts w:ascii="Times New Roman" w:hAnsi="Times New Roman"/>
                <w:highlight w:val="none"/>
              </w:rPr>
            </w:pPr>
            <w:r>
              <w:rPr>
                <w:rFonts w:ascii="Times New Roman" w:hAnsi="Times New Roman"/>
                <w:highlight w:val="none"/>
              </w:rPr>
              <w:t>查询</w:t>
            </w:r>
          </w:p>
        </w:tc>
        <w:tc>
          <w:tcPr>
            <w:tcW w:w="3981" w:type="pct"/>
            <w:gridSpan w:val="2"/>
            <w:vAlign w:val="center"/>
          </w:tcPr>
          <w:p w14:paraId="22745031">
            <w:pPr>
              <w:autoSpaceDE w:val="0"/>
              <w:autoSpaceDN w:val="0"/>
              <w:spacing w:line="320" w:lineRule="exact"/>
              <w:rPr>
                <w:rFonts w:ascii="Times New Roman" w:hAnsi="Times New Roman"/>
                <w:highlight w:val="none"/>
              </w:rPr>
            </w:pPr>
            <w:r>
              <w:rPr>
                <w:rFonts w:hint="eastAsia" w:ascii="Times New Roman" w:hAnsi="Times New Roman"/>
                <w:highlight w:val="none"/>
              </w:rPr>
              <w:t>本款修改为：</w:t>
            </w:r>
          </w:p>
          <w:p w14:paraId="5702F35C">
            <w:pPr>
              <w:autoSpaceDE w:val="0"/>
              <w:autoSpaceDN w:val="0"/>
              <w:spacing w:line="320" w:lineRule="exact"/>
              <w:rPr>
                <w:rFonts w:ascii="Times New Roman" w:hAnsi="Times New Roman"/>
                <w:highlight w:val="none"/>
              </w:rPr>
            </w:pPr>
            <w:r>
              <w:rPr>
                <w:rFonts w:hint="eastAsia" w:ascii="Times New Roman" w:hAnsi="Times New Roman"/>
                <w:highlight w:val="none"/>
              </w:rPr>
              <w:t>（1）投标人信用情况网页截图内容与在“国家企业信用信息公示系统”中严重违法失信企业名单（不含分公司）或在“信用中国”网站中失信被执行人名单、</w:t>
            </w:r>
            <w:r>
              <w:rPr>
                <w:rFonts w:hint="eastAsia" w:ascii="Times New Roman" w:hAnsi="Times New Roman"/>
                <w:highlight w:val="none"/>
                <w:lang w:eastAsia="zh-CN"/>
              </w:rPr>
              <w:t>经营（活动）异常名录</w:t>
            </w:r>
            <w:r>
              <w:rPr>
                <w:rFonts w:hint="eastAsia" w:ascii="Times New Roman" w:hAnsi="Times New Roman"/>
                <w:highlight w:val="none"/>
              </w:rPr>
              <w:t>、重大税收违法失信主体名单、</w:t>
            </w:r>
            <w:r>
              <w:rPr>
                <w:rFonts w:hint="eastAsia" w:ascii="Times New Roman" w:hAnsi="Times New Roman"/>
                <w:highlight w:val="none"/>
                <w:lang w:eastAsia="zh-CN"/>
              </w:rPr>
              <w:t>政府采购严重违法失信行为记录名单</w:t>
            </w:r>
            <w:r>
              <w:rPr>
                <w:rFonts w:hint="eastAsia" w:ascii="Times New Roman" w:hAnsi="Times New Roman"/>
                <w:highlight w:val="none"/>
              </w:rPr>
              <w:t>（均不含分公司）的复核结果一致。如投标人未提供相关网页截图或所附截图与复核结果不一致，评标委员会应否决其投标。</w:t>
            </w:r>
          </w:p>
          <w:p w14:paraId="011A677F">
            <w:pPr>
              <w:autoSpaceDE w:val="0"/>
              <w:autoSpaceDN w:val="0"/>
              <w:spacing w:line="320" w:lineRule="exact"/>
              <w:rPr>
                <w:rFonts w:ascii="Times New Roman" w:hAnsi="Times New Roman"/>
                <w:highlight w:val="none"/>
              </w:rPr>
            </w:pPr>
            <w:r>
              <w:rPr>
                <w:rFonts w:hint="eastAsia" w:ascii="Times New Roman" w:hAnsi="Times New Roman"/>
                <w:highlight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p>
          <w:p w14:paraId="6559ED01">
            <w:pPr>
              <w:autoSpaceDE w:val="0"/>
              <w:autoSpaceDN w:val="0"/>
              <w:spacing w:line="320" w:lineRule="exact"/>
              <w:ind w:firstLine="420" w:firstLineChars="200"/>
              <w:rPr>
                <w:rFonts w:ascii="Times New Roman" w:hAnsi="Times New Roman"/>
                <w:highlight w:val="none"/>
              </w:rPr>
            </w:pPr>
            <w:r>
              <w:rPr>
                <w:rFonts w:hint="eastAsia" w:ascii="Times New Roman" w:hAnsi="Times New Roman"/>
                <w:highlight w:val="none"/>
              </w:rPr>
              <w:t>投标人按招标文件要求提供了截图并更新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6E31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5"/>
            <w:vAlign w:val="center"/>
          </w:tcPr>
          <w:p w14:paraId="26E743EE">
            <w:pPr>
              <w:spacing w:line="340" w:lineRule="exact"/>
              <w:ind w:right="113"/>
              <w:rPr>
                <w:rFonts w:ascii="Times New Roman" w:hAnsi="Times New Roman"/>
                <w:bCs/>
                <w:szCs w:val="21"/>
                <w:highlight w:val="none"/>
              </w:rPr>
            </w:pPr>
            <w:r>
              <w:rPr>
                <w:rFonts w:ascii="Times New Roman" w:hAnsi="Times New Roman"/>
                <w:szCs w:val="21"/>
                <w:highlight w:val="none"/>
              </w:rPr>
              <w:t>需要补充的其他内容：</w:t>
            </w:r>
            <w:r>
              <w:rPr>
                <w:rFonts w:ascii="Times New Roman" w:hAnsi="Times New Roman"/>
                <w:bCs/>
                <w:szCs w:val="21"/>
                <w:highlight w:val="none"/>
              </w:rPr>
              <w:t>无</w:t>
            </w:r>
          </w:p>
        </w:tc>
      </w:tr>
    </w:tbl>
    <w:p w14:paraId="7251EFBC">
      <w:pPr>
        <w:rPr>
          <w:highlight w:val="none"/>
        </w:rPr>
      </w:pPr>
    </w:p>
    <w:p w14:paraId="464D6189">
      <w:pPr>
        <w:jc w:val="right"/>
        <w:rPr>
          <w:highlight w:val="none"/>
        </w:rPr>
      </w:pPr>
      <w:r>
        <w:rPr>
          <w:highlight w:val="none"/>
        </w:rPr>
        <w:br w:type="page"/>
      </w:r>
      <w:r>
        <w:rPr>
          <w:rFonts w:hint="eastAsia"/>
          <w:highlight w:val="none"/>
        </w:rPr>
        <w:t>续上表</w:t>
      </w:r>
    </w:p>
    <w:tbl>
      <w:tblPr>
        <w:tblStyle w:val="11"/>
        <w:tblW w:w="96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817"/>
        <w:gridCol w:w="928"/>
        <w:gridCol w:w="690"/>
        <w:gridCol w:w="561"/>
        <w:gridCol w:w="785"/>
        <w:gridCol w:w="419"/>
        <w:gridCol w:w="942"/>
        <w:gridCol w:w="4494"/>
      </w:tblGrid>
      <w:tr w14:paraId="450142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5" w:hRule="exact"/>
          <w:jc w:val="center"/>
        </w:trPr>
        <w:tc>
          <w:tcPr>
            <w:tcW w:w="817" w:type="dxa"/>
            <w:vAlign w:val="center"/>
          </w:tcPr>
          <w:p w14:paraId="11D6023F">
            <w:pPr>
              <w:autoSpaceDE w:val="0"/>
              <w:autoSpaceDN w:val="0"/>
              <w:spacing w:line="440" w:lineRule="exact"/>
              <w:ind w:right="11"/>
              <w:jc w:val="center"/>
              <w:rPr>
                <w:rFonts w:ascii="Times New Roman" w:hAnsi="Times New Roman"/>
                <w:b/>
                <w:kern w:val="0"/>
                <w:szCs w:val="21"/>
                <w:highlight w:val="none"/>
              </w:rPr>
            </w:pPr>
            <w:r>
              <w:rPr>
                <w:rFonts w:ascii="Times New Roman" w:hAnsi="Times New Roman"/>
                <w:b/>
                <w:kern w:val="0"/>
                <w:szCs w:val="21"/>
                <w:highlight w:val="none"/>
              </w:rPr>
              <w:t>条款号</w:t>
            </w:r>
          </w:p>
        </w:tc>
        <w:tc>
          <w:tcPr>
            <w:tcW w:w="2964" w:type="dxa"/>
            <w:gridSpan w:val="4"/>
            <w:tcBorders>
              <w:right w:val="single" w:color="auto" w:sz="4" w:space="0"/>
            </w:tcBorders>
            <w:vAlign w:val="center"/>
          </w:tcPr>
          <w:p w14:paraId="431BD4B6">
            <w:pPr>
              <w:autoSpaceDE w:val="0"/>
              <w:autoSpaceDN w:val="0"/>
              <w:spacing w:line="440" w:lineRule="exact"/>
              <w:ind w:right="11"/>
              <w:jc w:val="center"/>
              <w:rPr>
                <w:rFonts w:ascii="Times New Roman" w:hAnsi="Times New Roman"/>
                <w:b/>
                <w:kern w:val="0"/>
                <w:szCs w:val="21"/>
                <w:highlight w:val="none"/>
              </w:rPr>
            </w:pPr>
          </w:p>
        </w:tc>
        <w:tc>
          <w:tcPr>
            <w:tcW w:w="1361" w:type="dxa"/>
            <w:gridSpan w:val="2"/>
            <w:tcBorders>
              <w:right w:val="single" w:color="auto" w:sz="4" w:space="0"/>
            </w:tcBorders>
            <w:vAlign w:val="center"/>
          </w:tcPr>
          <w:p w14:paraId="632DEAA1">
            <w:pPr>
              <w:autoSpaceDE w:val="0"/>
              <w:autoSpaceDN w:val="0"/>
              <w:spacing w:line="440" w:lineRule="exact"/>
              <w:ind w:right="11"/>
              <w:jc w:val="center"/>
              <w:rPr>
                <w:rFonts w:ascii="Times New Roman" w:hAnsi="Times New Roman"/>
                <w:b/>
                <w:kern w:val="0"/>
                <w:szCs w:val="21"/>
                <w:highlight w:val="none"/>
              </w:rPr>
            </w:pPr>
            <w:r>
              <w:rPr>
                <w:rFonts w:ascii="Times New Roman" w:hAnsi="Times New Roman"/>
                <w:b/>
                <w:kern w:val="0"/>
                <w:szCs w:val="21"/>
                <w:highlight w:val="none"/>
              </w:rPr>
              <w:t>评审因素与权重分值</w:t>
            </w:r>
          </w:p>
        </w:tc>
        <w:tc>
          <w:tcPr>
            <w:tcW w:w="4494" w:type="dxa"/>
            <w:vMerge w:val="restart"/>
            <w:tcBorders>
              <w:left w:val="single" w:color="auto" w:sz="4" w:space="0"/>
            </w:tcBorders>
            <w:vAlign w:val="center"/>
          </w:tcPr>
          <w:p w14:paraId="792112B4">
            <w:pPr>
              <w:autoSpaceDE w:val="0"/>
              <w:autoSpaceDN w:val="0"/>
              <w:spacing w:line="440" w:lineRule="exact"/>
              <w:ind w:right="11"/>
              <w:jc w:val="center"/>
              <w:rPr>
                <w:rFonts w:ascii="Times New Roman" w:hAnsi="Times New Roman"/>
                <w:b/>
                <w:kern w:val="0"/>
                <w:szCs w:val="21"/>
                <w:highlight w:val="none"/>
              </w:rPr>
            </w:pPr>
            <w:r>
              <w:rPr>
                <w:rFonts w:ascii="Times New Roman" w:hAnsi="Times New Roman"/>
                <w:b/>
                <w:kern w:val="0"/>
                <w:szCs w:val="21"/>
                <w:highlight w:val="none"/>
              </w:rPr>
              <w:t>评分标准</w:t>
            </w:r>
          </w:p>
        </w:tc>
      </w:tr>
      <w:tr w14:paraId="62FF1E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99" w:hRule="exact"/>
          <w:jc w:val="center"/>
        </w:trPr>
        <w:tc>
          <w:tcPr>
            <w:tcW w:w="817" w:type="dxa"/>
            <w:vMerge w:val="restart"/>
            <w:vAlign w:val="center"/>
          </w:tcPr>
          <w:p w14:paraId="7322D66B">
            <w:pPr>
              <w:autoSpaceDE w:val="0"/>
              <w:autoSpaceDN w:val="0"/>
              <w:snapToGrid w:val="0"/>
              <w:ind w:right="11"/>
              <w:jc w:val="center"/>
              <w:rPr>
                <w:rFonts w:ascii="Times New Roman" w:hAnsi="Times New Roman"/>
                <w:kern w:val="0"/>
                <w:szCs w:val="21"/>
                <w:highlight w:val="none"/>
              </w:rPr>
            </w:pPr>
            <w:r>
              <w:rPr>
                <w:rFonts w:ascii="Times New Roman" w:hAnsi="Times New Roman"/>
                <w:highlight w:val="none"/>
              </w:rPr>
              <w:t>2.2.4(1)</w:t>
            </w:r>
          </w:p>
        </w:tc>
        <w:tc>
          <w:tcPr>
            <w:tcW w:w="928" w:type="dxa"/>
            <w:vAlign w:val="center"/>
          </w:tcPr>
          <w:p w14:paraId="6A0EE078">
            <w:pPr>
              <w:autoSpaceDE w:val="0"/>
              <w:autoSpaceDN w:val="0"/>
              <w:snapToGrid w:val="0"/>
              <w:ind w:right="11"/>
              <w:jc w:val="center"/>
              <w:rPr>
                <w:rFonts w:ascii="Times New Roman" w:hAnsi="Times New Roman"/>
                <w:kern w:val="0"/>
                <w:szCs w:val="21"/>
                <w:highlight w:val="none"/>
              </w:rPr>
            </w:pPr>
            <w:r>
              <w:rPr>
                <w:rFonts w:ascii="Times New Roman" w:hAnsi="Times New Roman"/>
                <w:kern w:val="0"/>
                <w:szCs w:val="21"/>
                <w:highlight w:val="none"/>
              </w:rPr>
              <w:t>评分</w:t>
            </w:r>
          </w:p>
          <w:p w14:paraId="15A0690D">
            <w:pPr>
              <w:autoSpaceDE w:val="0"/>
              <w:autoSpaceDN w:val="0"/>
              <w:snapToGrid w:val="0"/>
              <w:ind w:right="11"/>
              <w:jc w:val="center"/>
              <w:rPr>
                <w:rFonts w:ascii="Times New Roman" w:hAnsi="Times New Roman"/>
                <w:kern w:val="0"/>
                <w:szCs w:val="21"/>
                <w:highlight w:val="none"/>
              </w:rPr>
            </w:pPr>
            <w:r>
              <w:rPr>
                <w:rFonts w:ascii="Times New Roman" w:hAnsi="Times New Roman"/>
                <w:kern w:val="0"/>
                <w:szCs w:val="21"/>
                <w:highlight w:val="none"/>
              </w:rPr>
              <w:t>因素</w:t>
            </w:r>
          </w:p>
        </w:tc>
        <w:tc>
          <w:tcPr>
            <w:tcW w:w="690" w:type="dxa"/>
            <w:vAlign w:val="center"/>
          </w:tcPr>
          <w:p w14:paraId="71750BB8">
            <w:pPr>
              <w:autoSpaceDE w:val="0"/>
              <w:autoSpaceDN w:val="0"/>
              <w:snapToGrid w:val="0"/>
              <w:ind w:right="11"/>
              <w:jc w:val="center"/>
              <w:rPr>
                <w:rFonts w:ascii="Times New Roman" w:hAnsi="Times New Roman"/>
                <w:kern w:val="0"/>
                <w:szCs w:val="21"/>
                <w:highlight w:val="none"/>
              </w:rPr>
            </w:pPr>
            <w:r>
              <w:rPr>
                <w:rFonts w:ascii="Times New Roman" w:hAnsi="Times New Roman"/>
                <w:kern w:val="0"/>
                <w:szCs w:val="21"/>
                <w:highlight w:val="none"/>
              </w:rPr>
              <w:t>评分因素权重分值</w:t>
            </w:r>
          </w:p>
        </w:tc>
        <w:tc>
          <w:tcPr>
            <w:tcW w:w="1765" w:type="dxa"/>
            <w:gridSpan w:val="3"/>
            <w:tcBorders>
              <w:right w:val="single" w:color="auto" w:sz="4" w:space="0"/>
            </w:tcBorders>
            <w:vAlign w:val="center"/>
          </w:tcPr>
          <w:p w14:paraId="456D3AF4">
            <w:pPr>
              <w:autoSpaceDE w:val="0"/>
              <w:autoSpaceDN w:val="0"/>
              <w:snapToGrid w:val="0"/>
              <w:ind w:right="11"/>
              <w:jc w:val="center"/>
              <w:rPr>
                <w:rFonts w:ascii="Times New Roman" w:hAnsi="Times New Roman"/>
                <w:kern w:val="0"/>
                <w:szCs w:val="21"/>
                <w:highlight w:val="none"/>
              </w:rPr>
            </w:pPr>
            <w:r>
              <w:rPr>
                <w:rFonts w:ascii="Times New Roman" w:hAnsi="Times New Roman"/>
                <w:kern w:val="0"/>
                <w:szCs w:val="21"/>
                <w:highlight w:val="none"/>
              </w:rPr>
              <w:t>各评分因素</w:t>
            </w:r>
          </w:p>
          <w:p w14:paraId="2C4DA068">
            <w:pPr>
              <w:autoSpaceDE w:val="0"/>
              <w:autoSpaceDN w:val="0"/>
              <w:snapToGrid w:val="0"/>
              <w:ind w:right="11"/>
              <w:jc w:val="center"/>
              <w:rPr>
                <w:rFonts w:ascii="Times New Roman" w:hAnsi="Times New Roman"/>
                <w:kern w:val="0"/>
                <w:szCs w:val="21"/>
                <w:highlight w:val="none"/>
              </w:rPr>
            </w:pPr>
            <w:r>
              <w:rPr>
                <w:rFonts w:ascii="Times New Roman" w:hAnsi="Times New Roman"/>
                <w:kern w:val="0"/>
                <w:szCs w:val="21"/>
                <w:highlight w:val="none"/>
              </w:rPr>
              <w:t>细分项</w:t>
            </w:r>
          </w:p>
        </w:tc>
        <w:tc>
          <w:tcPr>
            <w:tcW w:w="942" w:type="dxa"/>
            <w:tcBorders>
              <w:left w:val="single" w:color="auto" w:sz="4" w:space="0"/>
              <w:right w:val="single" w:color="auto" w:sz="4" w:space="0"/>
            </w:tcBorders>
            <w:vAlign w:val="center"/>
          </w:tcPr>
          <w:p w14:paraId="0862F317">
            <w:pPr>
              <w:autoSpaceDE w:val="0"/>
              <w:autoSpaceDN w:val="0"/>
              <w:snapToGrid w:val="0"/>
              <w:ind w:right="11"/>
              <w:jc w:val="center"/>
              <w:rPr>
                <w:rFonts w:ascii="Times New Roman" w:hAnsi="Times New Roman"/>
                <w:kern w:val="0"/>
                <w:szCs w:val="21"/>
                <w:highlight w:val="none"/>
              </w:rPr>
            </w:pPr>
            <w:r>
              <w:rPr>
                <w:rFonts w:ascii="Times New Roman" w:hAnsi="Times New Roman"/>
                <w:kern w:val="0"/>
                <w:szCs w:val="21"/>
                <w:highlight w:val="none"/>
              </w:rPr>
              <w:t>分值</w:t>
            </w:r>
          </w:p>
        </w:tc>
        <w:tc>
          <w:tcPr>
            <w:tcW w:w="4494" w:type="dxa"/>
            <w:vMerge w:val="continue"/>
            <w:tcBorders>
              <w:left w:val="single" w:color="auto" w:sz="4" w:space="0"/>
              <w:bottom w:val="single" w:color="auto" w:sz="4" w:space="0"/>
            </w:tcBorders>
            <w:vAlign w:val="center"/>
          </w:tcPr>
          <w:p w14:paraId="1A4540D3">
            <w:pPr>
              <w:autoSpaceDE w:val="0"/>
              <w:autoSpaceDN w:val="0"/>
              <w:snapToGrid w:val="0"/>
              <w:ind w:right="11"/>
              <w:jc w:val="center"/>
              <w:rPr>
                <w:rFonts w:ascii="Times New Roman" w:hAnsi="Times New Roman"/>
                <w:kern w:val="0"/>
                <w:szCs w:val="21"/>
                <w:highlight w:val="none"/>
              </w:rPr>
            </w:pPr>
          </w:p>
        </w:tc>
      </w:tr>
      <w:tr w14:paraId="16D7FD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55" w:hRule="atLeast"/>
          <w:jc w:val="center"/>
        </w:trPr>
        <w:tc>
          <w:tcPr>
            <w:tcW w:w="817" w:type="dxa"/>
            <w:vMerge w:val="continue"/>
            <w:vAlign w:val="center"/>
          </w:tcPr>
          <w:p w14:paraId="038AF463">
            <w:pPr>
              <w:autoSpaceDE w:val="0"/>
              <w:autoSpaceDN w:val="0"/>
              <w:snapToGrid w:val="0"/>
              <w:ind w:right="11"/>
              <w:jc w:val="center"/>
              <w:rPr>
                <w:rFonts w:ascii="Times New Roman" w:hAnsi="Times New Roman"/>
                <w:kern w:val="0"/>
                <w:szCs w:val="21"/>
                <w:highlight w:val="none"/>
              </w:rPr>
            </w:pPr>
          </w:p>
        </w:tc>
        <w:tc>
          <w:tcPr>
            <w:tcW w:w="928" w:type="dxa"/>
            <w:vMerge w:val="restart"/>
            <w:vAlign w:val="center"/>
          </w:tcPr>
          <w:p w14:paraId="361755A4">
            <w:pPr>
              <w:autoSpaceDE w:val="0"/>
              <w:autoSpaceDN w:val="0"/>
              <w:snapToGrid w:val="0"/>
              <w:ind w:right="11"/>
              <w:jc w:val="center"/>
              <w:rPr>
                <w:rFonts w:ascii="Times New Roman" w:hAnsi="Times New Roman"/>
                <w:kern w:val="0"/>
                <w:szCs w:val="21"/>
                <w:highlight w:val="none"/>
              </w:rPr>
            </w:pPr>
            <w:r>
              <w:rPr>
                <w:rFonts w:ascii="Times New Roman" w:hAnsi="Times New Roman"/>
                <w:kern w:val="0"/>
                <w:szCs w:val="21"/>
                <w:highlight w:val="none"/>
              </w:rPr>
              <w:t xml:space="preserve">商务及技术部分  </w:t>
            </w:r>
          </w:p>
        </w:tc>
        <w:tc>
          <w:tcPr>
            <w:tcW w:w="690" w:type="dxa"/>
            <w:vMerge w:val="restart"/>
            <w:vAlign w:val="center"/>
          </w:tcPr>
          <w:p w14:paraId="22FE1AA3">
            <w:pPr>
              <w:autoSpaceDE w:val="0"/>
              <w:autoSpaceDN w:val="0"/>
              <w:snapToGrid w:val="0"/>
              <w:ind w:right="11"/>
              <w:jc w:val="center"/>
              <w:rPr>
                <w:rFonts w:ascii="Times New Roman" w:hAnsi="Times New Roman"/>
                <w:kern w:val="0"/>
                <w:szCs w:val="21"/>
                <w:highlight w:val="none"/>
              </w:rPr>
            </w:pPr>
            <w:r>
              <w:rPr>
                <w:rFonts w:hint="eastAsia" w:ascii="Times New Roman" w:hAnsi="Times New Roman"/>
                <w:kern w:val="0"/>
                <w:szCs w:val="21"/>
                <w:highlight w:val="none"/>
                <w:lang w:val="en-US" w:eastAsia="zh-CN"/>
              </w:rPr>
              <w:t>70</w:t>
            </w:r>
            <w:r>
              <w:rPr>
                <w:rFonts w:ascii="Times New Roman" w:hAnsi="Times New Roman"/>
                <w:kern w:val="0"/>
                <w:szCs w:val="21"/>
                <w:highlight w:val="none"/>
              </w:rPr>
              <w:t>分</w:t>
            </w:r>
          </w:p>
        </w:tc>
        <w:tc>
          <w:tcPr>
            <w:tcW w:w="1765" w:type="dxa"/>
            <w:gridSpan w:val="3"/>
            <w:tcBorders>
              <w:right w:val="single" w:color="auto" w:sz="4" w:space="0"/>
            </w:tcBorders>
            <w:vAlign w:val="center"/>
          </w:tcPr>
          <w:p w14:paraId="7DD95641">
            <w:pPr>
              <w:pStyle w:val="9"/>
              <w:snapToGrid w:val="0"/>
              <w:jc w:val="center"/>
              <w:rPr>
                <w:rFonts w:ascii="Times New Roman" w:hAnsi="Times New Roman"/>
                <w:sz w:val="21"/>
                <w:szCs w:val="21"/>
                <w:highlight w:val="none"/>
              </w:rPr>
            </w:pPr>
            <w:r>
              <w:rPr>
                <w:rFonts w:hint="eastAsia" w:ascii="Times New Roman" w:hAnsi="Times New Roman"/>
                <w:sz w:val="21"/>
                <w:szCs w:val="21"/>
                <w:highlight w:val="none"/>
                <w:lang w:eastAsia="zh-CN"/>
              </w:rPr>
              <w:t>企业</w:t>
            </w:r>
            <w:r>
              <w:rPr>
                <w:rFonts w:ascii="Times New Roman" w:hAnsi="Times New Roman"/>
                <w:sz w:val="21"/>
                <w:szCs w:val="21"/>
                <w:highlight w:val="none"/>
              </w:rPr>
              <w:t>业绩</w:t>
            </w:r>
          </w:p>
          <w:p w14:paraId="0C48C948">
            <w:pPr>
              <w:pStyle w:val="9"/>
              <w:snapToGrid w:val="0"/>
              <w:jc w:val="center"/>
              <w:rPr>
                <w:rFonts w:hint="default" w:ascii="Times New Roman" w:hAnsi="Times New Roman" w:eastAsia="宋体"/>
                <w:kern w:val="2"/>
                <w:sz w:val="21"/>
                <w:szCs w:val="21"/>
                <w:highlight w:val="none"/>
                <w:lang w:val="en-US" w:eastAsia="zh-CN"/>
              </w:rPr>
            </w:pPr>
            <w:r>
              <w:rPr>
                <w:rFonts w:hint="eastAsia" w:ascii="Times New Roman" w:hAnsi="Times New Roman"/>
                <w:sz w:val="21"/>
                <w:szCs w:val="21"/>
                <w:highlight w:val="none"/>
                <w:lang w:val="en-US" w:eastAsia="zh-CN"/>
              </w:rPr>
              <w:t>20分</w:t>
            </w:r>
          </w:p>
        </w:tc>
        <w:tc>
          <w:tcPr>
            <w:tcW w:w="942" w:type="dxa"/>
            <w:tcBorders>
              <w:left w:val="single" w:color="auto" w:sz="4" w:space="0"/>
              <w:right w:val="single" w:color="auto" w:sz="4" w:space="0"/>
            </w:tcBorders>
            <w:vAlign w:val="center"/>
          </w:tcPr>
          <w:p w14:paraId="53AD20C5">
            <w:pPr>
              <w:pStyle w:val="9"/>
              <w:snapToGrid w:val="0"/>
              <w:ind w:left="33" w:leftChars="-48" w:right="-31" w:rightChars="-15" w:hanging="134" w:hangingChars="64"/>
              <w:jc w:val="center"/>
              <w:rPr>
                <w:rFonts w:ascii="Times New Roman" w:hAnsi="Times New Roman"/>
                <w:kern w:val="2"/>
                <w:sz w:val="21"/>
                <w:szCs w:val="21"/>
                <w:highlight w:val="none"/>
              </w:rPr>
            </w:pPr>
            <w:r>
              <w:rPr>
                <w:rFonts w:hint="eastAsia" w:ascii="Times New Roman" w:hAnsi="Times New Roman"/>
                <w:sz w:val="21"/>
                <w:szCs w:val="21"/>
                <w:highlight w:val="none"/>
                <w:lang w:val="en-US" w:eastAsia="zh-CN"/>
              </w:rPr>
              <w:t>20</w:t>
            </w:r>
            <w:r>
              <w:rPr>
                <w:rFonts w:ascii="Times New Roman" w:hAnsi="Times New Roman"/>
                <w:sz w:val="21"/>
                <w:szCs w:val="21"/>
                <w:highlight w:val="none"/>
              </w:rPr>
              <w:t>分</w:t>
            </w:r>
          </w:p>
        </w:tc>
        <w:tc>
          <w:tcPr>
            <w:tcW w:w="4494" w:type="dxa"/>
            <w:tcBorders>
              <w:top w:val="single" w:color="auto" w:sz="4" w:space="0"/>
              <w:left w:val="single" w:color="auto" w:sz="4" w:space="0"/>
            </w:tcBorders>
            <w:vAlign w:val="center"/>
          </w:tcPr>
          <w:p w14:paraId="0F13A6E3">
            <w:pPr>
              <w:pStyle w:val="9"/>
              <w:spacing w:line="360" w:lineRule="exact"/>
              <w:rPr>
                <w:rFonts w:hint="eastAsia" w:ascii="宋体" w:hAnsi="宋体" w:eastAsia="宋体" w:cs="宋体"/>
                <w:kern w:val="2"/>
                <w:sz w:val="21"/>
                <w:szCs w:val="24"/>
                <w:highlight w:val="none"/>
                <w:lang w:eastAsia="zh-CN"/>
              </w:rPr>
            </w:pPr>
            <w:r>
              <w:rPr>
                <w:rFonts w:hint="eastAsia" w:ascii="宋体" w:hAnsi="宋体" w:eastAsia="宋体" w:cs="宋体"/>
                <w:kern w:val="2"/>
                <w:sz w:val="21"/>
                <w:szCs w:val="24"/>
                <w:highlight w:val="none"/>
              </w:rPr>
              <w:t>满足“附录2  资格审查条件（业绩最低要求）”得</w:t>
            </w:r>
            <w:r>
              <w:rPr>
                <w:rFonts w:hint="eastAsia" w:ascii="宋体" w:hAnsi="宋体" w:eastAsia="宋体" w:cs="宋体"/>
                <w:kern w:val="2"/>
                <w:sz w:val="21"/>
                <w:szCs w:val="24"/>
                <w:highlight w:val="none"/>
                <w:lang w:val="en-US" w:eastAsia="zh-CN"/>
              </w:rPr>
              <w:t>12</w:t>
            </w:r>
            <w:r>
              <w:rPr>
                <w:rFonts w:hint="eastAsia" w:ascii="宋体" w:hAnsi="宋体" w:eastAsia="宋体" w:cs="宋体"/>
                <w:kern w:val="2"/>
                <w:sz w:val="21"/>
                <w:szCs w:val="24"/>
                <w:highlight w:val="none"/>
              </w:rPr>
              <w:t>分</w:t>
            </w:r>
            <w:r>
              <w:rPr>
                <w:rFonts w:hint="eastAsia" w:ascii="宋体" w:hAnsi="宋体" w:eastAsia="宋体" w:cs="宋体"/>
                <w:kern w:val="2"/>
                <w:sz w:val="21"/>
                <w:szCs w:val="24"/>
                <w:highlight w:val="none"/>
                <w:lang w:eastAsia="zh-CN"/>
              </w:rPr>
              <w:t>；</w:t>
            </w:r>
          </w:p>
          <w:p w14:paraId="2A585069">
            <w:pPr>
              <w:pStyle w:val="9"/>
              <w:spacing w:line="360" w:lineRule="exact"/>
              <w:rPr>
                <w:rFonts w:ascii="Times New Roman" w:hAnsi="Times New Roman"/>
                <w:szCs w:val="21"/>
                <w:highlight w:val="none"/>
              </w:rPr>
            </w:pPr>
            <w:r>
              <w:rPr>
                <w:rFonts w:hint="eastAsia" w:ascii="宋体" w:hAnsi="宋体" w:eastAsia="宋体" w:cs="宋体"/>
                <w:kern w:val="2"/>
                <w:sz w:val="21"/>
                <w:szCs w:val="24"/>
                <w:highlight w:val="none"/>
                <w:shd w:val="clear"/>
                <w:lang w:val="en-US" w:eastAsia="zh-CN"/>
              </w:rPr>
              <w:t>每</w:t>
            </w:r>
            <w:r>
              <w:rPr>
                <w:rFonts w:hint="eastAsia" w:ascii="宋体" w:hAnsi="宋体" w:eastAsia="宋体" w:cs="宋体"/>
                <w:kern w:val="2"/>
                <w:sz w:val="21"/>
                <w:szCs w:val="24"/>
                <w:highlight w:val="none"/>
                <w:shd w:val="clear"/>
              </w:rPr>
              <w:t>增加1项</w:t>
            </w:r>
            <w:r>
              <w:rPr>
                <w:rFonts w:hint="eastAsia" w:ascii="宋体" w:hAnsi="宋体" w:eastAsia="宋体" w:cs="宋体"/>
                <w:kern w:val="2"/>
                <w:sz w:val="21"/>
                <w:szCs w:val="24"/>
                <w:highlight w:val="none"/>
              </w:rPr>
              <w:t>满足“附录2  资格审查条件（业绩最低要求）”的业绩加</w:t>
            </w:r>
            <w:r>
              <w:rPr>
                <w:rFonts w:hint="eastAsia" w:ascii="宋体" w:hAnsi="宋体" w:eastAsia="宋体" w:cs="宋体"/>
                <w:kern w:val="2"/>
                <w:sz w:val="21"/>
                <w:szCs w:val="24"/>
                <w:highlight w:val="none"/>
                <w:lang w:val="en-US" w:eastAsia="zh-CN"/>
              </w:rPr>
              <w:t>4</w:t>
            </w:r>
            <w:r>
              <w:rPr>
                <w:rFonts w:hint="eastAsia" w:ascii="宋体" w:hAnsi="宋体" w:eastAsia="宋体" w:cs="宋体"/>
                <w:kern w:val="2"/>
                <w:sz w:val="21"/>
                <w:szCs w:val="24"/>
                <w:highlight w:val="none"/>
              </w:rPr>
              <w:t>分，最多加</w:t>
            </w:r>
            <w:r>
              <w:rPr>
                <w:rFonts w:hint="eastAsia" w:hAnsi="宋体" w:cs="宋体"/>
                <w:kern w:val="2"/>
                <w:sz w:val="21"/>
                <w:szCs w:val="24"/>
                <w:highlight w:val="none"/>
                <w:lang w:val="en-US" w:eastAsia="zh-CN"/>
              </w:rPr>
              <w:t>8</w:t>
            </w:r>
            <w:r>
              <w:rPr>
                <w:rFonts w:hint="eastAsia" w:ascii="宋体" w:hAnsi="宋体" w:eastAsia="宋体" w:cs="宋体"/>
                <w:kern w:val="2"/>
                <w:sz w:val="21"/>
                <w:szCs w:val="24"/>
                <w:highlight w:val="none"/>
              </w:rPr>
              <w:t>分</w:t>
            </w:r>
            <w:r>
              <w:rPr>
                <w:rFonts w:hint="eastAsia" w:ascii="宋体" w:hAnsi="宋体" w:eastAsia="宋体" w:cs="宋体"/>
                <w:kern w:val="2"/>
                <w:sz w:val="21"/>
                <w:szCs w:val="24"/>
                <w:highlight w:val="none"/>
                <w:lang w:eastAsia="zh-CN"/>
              </w:rPr>
              <w:t>；</w:t>
            </w:r>
          </w:p>
        </w:tc>
      </w:tr>
      <w:tr w14:paraId="33C965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484" w:hRule="atLeast"/>
          <w:jc w:val="center"/>
        </w:trPr>
        <w:tc>
          <w:tcPr>
            <w:tcW w:w="817" w:type="dxa"/>
            <w:vMerge w:val="continue"/>
            <w:vAlign w:val="center"/>
          </w:tcPr>
          <w:p w14:paraId="0B4EDB04">
            <w:pPr>
              <w:autoSpaceDE w:val="0"/>
              <w:autoSpaceDN w:val="0"/>
              <w:snapToGrid w:val="0"/>
              <w:ind w:right="11"/>
              <w:jc w:val="center"/>
              <w:rPr>
                <w:rFonts w:ascii="Times New Roman" w:hAnsi="Times New Roman"/>
                <w:kern w:val="0"/>
                <w:szCs w:val="21"/>
                <w:highlight w:val="none"/>
              </w:rPr>
            </w:pPr>
          </w:p>
        </w:tc>
        <w:tc>
          <w:tcPr>
            <w:tcW w:w="928" w:type="dxa"/>
            <w:vMerge w:val="continue"/>
            <w:vAlign w:val="center"/>
          </w:tcPr>
          <w:p w14:paraId="3941F96F">
            <w:pPr>
              <w:autoSpaceDE w:val="0"/>
              <w:autoSpaceDN w:val="0"/>
              <w:snapToGrid w:val="0"/>
              <w:ind w:right="11"/>
              <w:jc w:val="center"/>
              <w:rPr>
                <w:rFonts w:ascii="Times New Roman" w:hAnsi="Times New Roman"/>
                <w:kern w:val="0"/>
                <w:szCs w:val="21"/>
                <w:highlight w:val="none"/>
              </w:rPr>
            </w:pPr>
          </w:p>
        </w:tc>
        <w:tc>
          <w:tcPr>
            <w:tcW w:w="690" w:type="dxa"/>
            <w:vMerge w:val="continue"/>
            <w:vAlign w:val="center"/>
          </w:tcPr>
          <w:p w14:paraId="0355438B">
            <w:pPr>
              <w:autoSpaceDE w:val="0"/>
              <w:autoSpaceDN w:val="0"/>
              <w:snapToGrid w:val="0"/>
              <w:ind w:right="11"/>
              <w:jc w:val="center"/>
              <w:rPr>
                <w:rFonts w:ascii="Times New Roman" w:hAnsi="Times New Roman"/>
                <w:kern w:val="0"/>
                <w:szCs w:val="21"/>
                <w:highlight w:val="none"/>
              </w:rPr>
            </w:pPr>
          </w:p>
        </w:tc>
        <w:tc>
          <w:tcPr>
            <w:tcW w:w="1765" w:type="dxa"/>
            <w:gridSpan w:val="3"/>
            <w:tcBorders>
              <w:right w:val="single" w:color="auto" w:sz="4" w:space="0"/>
            </w:tcBorders>
            <w:vAlign w:val="center"/>
          </w:tcPr>
          <w:p w14:paraId="29E12648">
            <w:pPr>
              <w:pStyle w:val="9"/>
              <w:snapToGrid w:val="0"/>
              <w:jc w:val="center"/>
              <w:rPr>
                <w:rFonts w:ascii="Times New Roman" w:hAnsi="Times New Roman"/>
                <w:sz w:val="21"/>
                <w:szCs w:val="21"/>
                <w:highlight w:val="none"/>
              </w:rPr>
            </w:pPr>
            <w:r>
              <w:rPr>
                <w:rFonts w:ascii="Times New Roman" w:hAnsi="Times New Roman"/>
                <w:sz w:val="21"/>
                <w:szCs w:val="21"/>
                <w:highlight w:val="none"/>
              </w:rPr>
              <w:t>项目负责人</w:t>
            </w:r>
          </w:p>
        </w:tc>
        <w:tc>
          <w:tcPr>
            <w:tcW w:w="942" w:type="dxa"/>
            <w:tcBorders>
              <w:left w:val="single" w:color="auto" w:sz="4" w:space="0"/>
              <w:right w:val="single" w:color="auto" w:sz="4" w:space="0"/>
            </w:tcBorders>
            <w:vAlign w:val="center"/>
          </w:tcPr>
          <w:p w14:paraId="08FC62D4">
            <w:pPr>
              <w:pStyle w:val="9"/>
              <w:snapToGrid w:val="0"/>
              <w:ind w:left="33" w:leftChars="-48" w:right="-31" w:rightChars="-15" w:hanging="134" w:hangingChars="64"/>
              <w:jc w:val="center"/>
              <w:rPr>
                <w:rFonts w:ascii="Times New Roman" w:hAnsi="Times New Roman"/>
                <w:sz w:val="21"/>
                <w:szCs w:val="21"/>
                <w:highlight w:val="none"/>
              </w:rPr>
            </w:pPr>
            <w:r>
              <w:rPr>
                <w:rFonts w:hint="eastAsia" w:ascii="Times New Roman" w:hAnsi="Times New Roman"/>
                <w:sz w:val="21"/>
                <w:szCs w:val="21"/>
                <w:highlight w:val="none"/>
              </w:rPr>
              <w:t>5分</w:t>
            </w:r>
          </w:p>
        </w:tc>
        <w:tc>
          <w:tcPr>
            <w:tcW w:w="4494" w:type="dxa"/>
            <w:tcBorders>
              <w:top w:val="single" w:color="auto" w:sz="4" w:space="0"/>
              <w:left w:val="single" w:color="auto" w:sz="4" w:space="0"/>
            </w:tcBorders>
            <w:vAlign w:val="center"/>
          </w:tcPr>
          <w:p w14:paraId="6427376B">
            <w:pPr>
              <w:pStyle w:val="9"/>
              <w:spacing w:line="360" w:lineRule="exact"/>
              <w:rPr>
                <w:rFonts w:hint="eastAsia" w:ascii="宋体" w:hAnsi="宋体" w:eastAsia="宋体" w:cs="宋体"/>
                <w:kern w:val="2"/>
                <w:sz w:val="21"/>
                <w:szCs w:val="24"/>
                <w:highlight w:val="none"/>
                <w:lang w:eastAsia="zh-CN"/>
              </w:rPr>
            </w:pPr>
            <w:r>
              <w:rPr>
                <w:rFonts w:hint="eastAsia" w:ascii="宋体" w:hAnsi="宋体" w:eastAsia="宋体" w:cs="宋体"/>
                <w:kern w:val="2"/>
                <w:sz w:val="21"/>
                <w:szCs w:val="24"/>
                <w:highlight w:val="none"/>
              </w:rPr>
              <w:t>满足“附录4  资格审查条件（</w:t>
            </w:r>
            <w:r>
              <w:rPr>
                <w:rFonts w:hint="eastAsia" w:ascii="宋体" w:hAnsi="宋体" w:eastAsia="宋体" w:cs="宋体"/>
                <w:kern w:val="2"/>
                <w:sz w:val="21"/>
                <w:szCs w:val="24"/>
                <w:highlight w:val="none"/>
                <w:lang w:val="en-US" w:eastAsia="zh-CN"/>
              </w:rPr>
              <w:t>项目负责人</w:t>
            </w:r>
            <w:r>
              <w:rPr>
                <w:rFonts w:hint="eastAsia" w:ascii="宋体" w:hAnsi="宋体" w:eastAsia="宋体" w:cs="宋体"/>
                <w:kern w:val="2"/>
                <w:sz w:val="21"/>
                <w:szCs w:val="24"/>
                <w:highlight w:val="none"/>
              </w:rPr>
              <w:t>最低要求）”得3分</w:t>
            </w:r>
            <w:r>
              <w:rPr>
                <w:rFonts w:hint="eastAsia" w:ascii="宋体" w:hAnsi="宋体" w:eastAsia="宋体" w:cs="宋体"/>
                <w:kern w:val="2"/>
                <w:sz w:val="21"/>
                <w:szCs w:val="24"/>
                <w:highlight w:val="none"/>
                <w:lang w:eastAsia="zh-CN"/>
              </w:rPr>
              <w:t>；</w:t>
            </w:r>
          </w:p>
          <w:p w14:paraId="5A45C058">
            <w:pPr>
              <w:pStyle w:val="9"/>
              <w:spacing w:line="360" w:lineRule="exact"/>
              <w:rPr>
                <w:rFonts w:ascii="Times New Roman" w:hAnsi="Times New Roman"/>
                <w:kern w:val="2"/>
                <w:sz w:val="21"/>
                <w:szCs w:val="24"/>
                <w:highlight w:val="none"/>
              </w:rPr>
            </w:pPr>
            <w:r>
              <w:rPr>
                <w:rFonts w:ascii="Times New Roman" w:hAnsi="Times New Roman"/>
                <w:kern w:val="2"/>
                <w:sz w:val="21"/>
                <w:szCs w:val="24"/>
                <w:highlight w:val="none"/>
              </w:rPr>
              <w:t>每增加1项满足</w:t>
            </w:r>
            <w:r>
              <w:rPr>
                <w:rFonts w:hint="eastAsia" w:ascii="Times New Roman" w:hAnsi="Times New Roman"/>
                <w:kern w:val="2"/>
                <w:sz w:val="21"/>
                <w:szCs w:val="24"/>
                <w:highlight w:val="none"/>
                <w:lang w:eastAsia="zh-CN"/>
              </w:rPr>
              <w:t>“附录</w:t>
            </w:r>
            <w:r>
              <w:rPr>
                <w:rFonts w:hint="eastAsia" w:ascii="Times New Roman" w:hAnsi="Times New Roman"/>
                <w:kern w:val="2"/>
                <w:sz w:val="21"/>
                <w:szCs w:val="24"/>
                <w:highlight w:val="none"/>
                <w:lang w:val="en-US" w:eastAsia="zh-CN"/>
              </w:rPr>
              <w:t xml:space="preserve">4  </w:t>
            </w:r>
            <w:r>
              <w:rPr>
                <w:rFonts w:ascii="Times New Roman" w:hAnsi="Times New Roman"/>
                <w:kern w:val="2"/>
                <w:sz w:val="21"/>
                <w:szCs w:val="24"/>
                <w:highlight w:val="none"/>
              </w:rPr>
              <w:t>资格审查条件（</w:t>
            </w:r>
            <w:r>
              <w:rPr>
                <w:rFonts w:hint="eastAsia" w:ascii="Times New Roman" w:hAnsi="Times New Roman"/>
                <w:kern w:val="2"/>
                <w:sz w:val="21"/>
                <w:szCs w:val="24"/>
                <w:highlight w:val="none"/>
                <w:lang w:val="en-US" w:eastAsia="zh-CN"/>
              </w:rPr>
              <w:t>项目负责人</w:t>
            </w:r>
            <w:r>
              <w:rPr>
                <w:rFonts w:ascii="Times New Roman" w:hAnsi="Times New Roman"/>
                <w:kern w:val="2"/>
                <w:sz w:val="21"/>
                <w:szCs w:val="24"/>
                <w:highlight w:val="none"/>
              </w:rPr>
              <w:t>最低要求）</w:t>
            </w:r>
            <w:r>
              <w:rPr>
                <w:rFonts w:hint="eastAsia" w:ascii="Times New Roman" w:hAnsi="Times New Roman"/>
                <w:kern w:val="2"/>
                <w:sz w:val="21"/>
                <w:szCs w:val="24"/>
                <w:highlight w:val="none"/>
                <w:lang w:val="en-US" w:eastAsia="zh-CN"/>
              </w:rPr>
              <w:t xml:space="preserve"> </w:t>
            </w:r>
            <w:r>
              <w:rPr>
                <w:rFonts w:hint="eastAsia" w:ascii="Times New Roman" w:hAnsi="Times New Roman"/>
                <w:kern w:val="2"/>
                <w:sz w:val="21"/>
                <w:szCs w:val="24"/>
                <w:highlight w:val="none"/>
                <w:lang w:eastAsia="zh-CN"/>
              </w:rPr>
              <w:t>”</w:t>
            </w:r>
            <w:r>
              <w:rPr>
                <w:rFonts w:ascii="Times New Roman" w:hAnsi="Times New Roman"/>
                <w:kern w:val="2"/>
                <w:sz w:val="21"/>
                <w:szCs w:val="24"/>
                <w:highlight w:val="none"/>
              </w:rPr>
              <w:t>的业绩加</w:t>
            </w:r>
            <w:r>
              <w:rPr>
                <w:rFonts w:hint="eastAsia" w:ascii="Times New Roman" w:hAnsi="Times New Roman"/>
                <w:kern w:val="2"/>
                <w:sz w:val="21"/>
                <w:szCs w:val="24"/>
                <w:highlight w:val="none"/>
                <w:lang w:val="en-US" w:eastAsia="zh-CN"/>
              </w:rPr>
              <w:t>1</w:t>
            </w:r>
            <w:r>
              <w:rPr>
                <w:rFonts w:hint="eastAsia" w:ascii="Times New Roman" w:hAnsi="Times New Roman"/>
                <w:kern w:val="2"/>
                <w:sz w:val="21"/>
                <w:szCs w:val="24"/>
                <w:highlight w:val="none"/>
              </w:rPr>
              <w:t>分，最多加</w:t>
            </w:r>
            <w:r>
              <w:rPr>
                <w:rFonts w:hint="eastAsia" w:ascii="Times New Roman" w:hAnsi="Times New Roman"/>
                <w:kern w:val="2"/>
                <w:sz w:val="21"/>
                <w:szCs w:val="24"/>
                <w:highlight w:val="none"/>
                <w:lang w:val="en-US" w:eastAsia="zh-CN"/>
              </w:rPr>
              <w:t>2</w:t>
            </w:r>
            <w:r>
              <w:rPr>
                <w:rFonts w:hint="eastAsia" w:ascii="Times New Roman" w:hAnsi="Times New Roman"/>
                <w:kern w:val="2"/>
                <w:sz w:val="21"/>
                <w:szCs w:val="24"/>
                <w:highlight w:val="none"/>
              </w:rPr>
              <w:t>分。</w:t>
            </w:r>
          </w:p>
        </w:tc>
      </w:tr>
      <w:tr w14:paraId="704CF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484" w:hRule="atLeast"/>
          <w:jc w:val="center"/>
        </w:trPr>
        <w:tc>
          <w:tcPr>
            <w:tcW w:w="817" w:type="dxa"/>
            <w:vMerge w:val="continue"/>
            <w:vAlign w:val="center"/>
          </w:tcPr>
          <w:p w14:paraId="753107C9">
            <w:pPr>
              <w:autoSpaceDE w:val="0"/>
              <w:autoSpaceDN w:val="0"/>
              <w:snapToGrid w:val="0"/>
              <w:ind w:right="11"/>
              <w:jc w:val="center"/>
              <w:rPr>
                <w:rFonts w:ascii="Times New Roman" w:hAnsi="Times New Roman"/>
                <w:kern w:val="0"/>
                <w:szCs w:val="21"/>
                <w:highlight w:val="none"/>
              </w:rPr>
            </w:pPr>
          </w:p>
        </w:tc>
        <w:tc>
          <w:tcPr>
            <w:tcW w:w="928" w:type="dxa"/>
            <w:vMerge w:val="continue"/>
            <w:vAlign w:val="center"/>
          </w:tcPr>
          <w:p w14:paraId="60BCD61E">
            <w:pPr>
              <w:autoSpaceDE w:val="0"/>
              <w:autoSpaceDN w:val="0"/>
              <w:snapToGrid w:val="0"/>
              <w:ind w:right="11"/>
              <w:jc w:val="center"/>
              <w:rPr>
                <w:rFonts w:ascii="Times New Roman" w:hAnsi="Times New Roman"/>
                <w:kern w:val="0"/>
                <w:szCs w:val="21"/>
                <w:highlight w:val="none"/>
              </w:rPr>
            </w:pPr>
          </w:p>
        </w:tc>
        <w:tc>
          <w:tcPr>
            <w:tcW w:w="690" w:type="dxa"/>
            <w:vMerge w:val="continue"/>
            <w:vAlign w:val="center"/>
          </w:tcPr>
          <w:p w14:paraId="72B644BC">
            <w:pPr>
              <w:autoSpaceDE w:val="0"/>
              <w:autoSpaceDN w:val="0"/>
              <w:snapToGrid w:val="0"/>
              <w:ind w:right="11"/>
              <w:jc w:val="center"/>
              <w:rPr>
                <w:rFonts w:ascii="Times New Roman" w:hAnsi="Times New Roman"/>
                <w:kern w:val="0"/>
                <w:szCs w:val="21"/>
                <w:highlight w:val="none"/>
              </w:rPr>
            </w:pPr>
          </w:p>
        </w:tc>
        <w:tc>
          <w:tcPr>
            <w:tcW w:w="1765" w:type="dxa"/>
            <w:gridSpan w:val="3"/>
            <w:tcBorders>
              <w:right w:val="single" w:color="auto" w:sz="4" w:space="0"/>
            </w:tcBorders>
            <w:vAlign w:val="center"/>
          </w:tcPr>
          <w:p w14:paraId="6391E56A">
            <w:pPr>
              <w:pStyle w:val="9"/>
              <w:snapToGrid w:val="0"/>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sz w:val="21"/>
                <w:szCs w:val="21"/>
                <w:highlight w:val="none"/>
                <w:lang w:val="en-US" w:eastAsia="zh-CN"/>
              </w:rPr>
              <w:t>其他人员</w:t>
            </w:r>
          </w:p>
        </w:tc>
        <w:tc>
          <w:tcPr>
            <w:tcW w:w="942" w:type="dxa"/>
            <w:tcBorders>
              <w:left w:val="single" w:color="auto" w:sz="4" w:space="0"/>
              <w:right w:val="single" w:color="auto" w:sz="4" w:space="0"/>
            </w:tcBorders>
            <w:vAlign w:val="center"/>
          </w:tcPr>
          <w:p w14:paraId="48CA7A34">
            <w:pPr>
              <w:pStyle w:val="9"/>
              <w:snapToGrid w:val="0"/>
              <w:jc w:val="center"/>
              <w:rPr>
                <w:rFonts w:hint="eastAsia" w:ascii="Times New Roman" w:hAnsi="Times New Roman" w:eastAsia="宋体" w:cs="Times New Roman"/>
                <w:kern w:val="2"/>
                <w:sz w:val="21"/>
                <w:szCs w:val="21"/>
                <w:highlight w:val="none"/>
                <w:lang w:val="en-US" w:eastAsia="zh-CN" w:bidi="ar-SA"/>
              </w:rPr>
            </w:pPr>
            <w:r>
              <w:rPr>
                <w:rFonts w:ascii="Times New Roman" w:hAnsi="Times New Roman"/>
                <w:sz w:val="21"/>
                <w:szCs w:val="21"/>
                <w:highlight w:val="none"/>
              </w:rPr>
              <w:t>1</w:t>
            </w:r>
            <w:r>
              <w:rPr>
                <w:rFonts w:hint="eastAsia" w:ascii="Times New Roman" w:hAnsi="Times New Roman"/>
                <w:sz w:val="21"/>
                <w:szCs w:val="21"/>
                <w:highlight w:val="none"/>
                <w:lang w:val="en-US" w:eastAsia="zh-CN"/>
              </w:rPr>
              <w:t>0</w:t>
            </w:r>
            <w:r>
              <w:rPr>
                <w:rFonts w:ascii="Times New Roman" w:hAnsi="Times New Roman"/>
                <w:sz w:val="21"/>
                <w:szCs w:val="21"/>
                <w:highlight w:val="none"/>
              </w:rPr>
              <w:t>分</w:t>
            </w:r>
          </w:p>
        </w:tc>
        <w:tc>
          <w:tcPr>
            <w:tcW w:w="4494" w:type="dxa"/>
            <w:tcBorders>
              <w:top w:val="single" w:color="auto" w:sz="4" w:space="0"/>
              <w:left w:val="single" w:color="auto" w:sz="4" w:space="0"/>
            </w:tcBorders>
            <w:vAlign w:val="center"/>
          </w:tcPr>
          <w:p w14:paraId="435AF6EE">
            <w:pPr>
              <w:pStyle w:val="9"/>
              <w:snapToGrid w:val="0"/>
              <w:spacing w:line="360" w:lineRule="exact"/>
              <w:rPr>
                <w:rFonts w:hint="eastAsia" w:ascii="Times New Roman" w:hAnsi="Times New Roman" w:eastAsia="宋体"/>
                <w:kern w:val="2"/>
                <w:sz w:val="21"/>
                <w:szCs w:val="24"/>
                <w:highlight w:val="none"/>
                <w:lang w:eastAsia="zh-CN"/>
              </w:rPr>
            </w:pPr>
            <w:r>
              <w:rPr>
                <w:rFonts w:hint="eastAsia" w:ascii="宋体" w:hAnsi="宋体" w:eastAsia="宋体" w:cs="宋体"/>
                <w:kern w:val="2"/>
                <w:sz w:val="21"/>
                <w:szCs w:val="24"/>
                <w:highlight w:val="none"/>
              </w:rPr>
              <w:t>满足“附录</w:t>
            </w:r>
            <w:r>
              <w:rPr>
                <w:rFonts w:hint="eastAsia" w:hAnsi="宋体" w:cs="宋体"/>
                <w:kern w:val="2"/>
                <w:sz w:val="21"/>
                <w:szCs w:val="24"/>
                <w:highlight w:val="none"/>
                <w:lang w:val="en-US" w:eastAsia="zh-CN"/>
              </w:rPr>
              <w:t>5</w:t>
            </w:r>
            <w:r>
              <w:rPr>
                <w:rFonts w:hint="eastAsia" w:ascii="宋体" w:hAnsi="宋体" w:eastAsia="宋体" w:cs="宋体"/>
                <w:kern w:val="2"/>
                <w:sz w:val="21"/>
                <w:szCs w:val="24"/>
                <w:highlight w:val="none"/>
              </w:rPr>
              <w:t xml:space="preserve"> 资格审查条件（</w:t>
            </w:r>
            <w:r>
              <w:rPr>
                <w:rFonts w:hint="eastAsia" w:hAnsi="宋体" w:cs="宋体"/>
                <w:kern w:val="2"/>
                <w:sz w:val="21"/>
                <w:szCs w:val="24"/>
                <w:highlight w:val="none"/>
                <w:lang w:val="en-US" w:eastAsia="zh-CN"/>
              </w:rPr>
              <w:t>其他</w:t>
            </w:r>
            <w:r>
              <w:rPr>
                <w:rFonts w:hint="eastAsia" w:ascii="宋体" w:hAnsi="宋体" w:eastAsia="宋体" w:cs="宋体"/>
                <w:kern w:val="2"/>
                <w:sz w:val="21"/>
                <w:szCs w:val="24"/>
                <w:highlight w:val="none"/>
                <w:lang w:val="en-US" w:eastAsia="zh-CN"/>
              </w:rPr>
              <w:t>人员</w:t>
            </w:r>
            <w:r>
              <w:rPr>
                <w:rFonts w:hint="eastAsia" w:ascii="宋体" w:hAnsi="宋体" w:eastAsia="宋体" w:cs="宋体"/>
                <w:kern w:val="2"/>
                <w:sz w:val="21"/>
                <w:szCs w:val="24"/>
                <w:highlight w:val="none"/>
              </w:rPr>
              <w:t>最低要求）”得</w:t>
            </w:r>
            <w:r>
              <w:rPr>
                <w:rFonts w:hint="eastAsia" w:hAnsi="宋体" w:cs="宋体"/>
                <w:kern w:val="2"/>
                <w:sz w:val="21"/>
                <w:szCs w:val="24"/>
                <w:highlight w:val="none"/>
                <w:lang w:val="en-US" w:eastAsia="zh-CN"/>
              </w:rPr>
              <w:t>6</w:t>
            </w:r>
            <w:r>
              <w:rPr>
                <w:rFonts w:hint="eastAsia" w:ascii="宋体" w:hAnsi="宋体" w:eastAsia="宋体" w:cs="宋体"/>
                <w:kern w:val="2"/>
                <w:sz w:val="21"/>
                <w:szCs w:val="24"/>
                <w:highlight w:val="none"/>
              </w:rPr>
              <w:t>分</w:t>
            </w:r>
            <w:r>
              <w:rPr>
                <w:rFonts w:hint="eastAsia" w:ascii="Times New Roman" w:hAnsi="Times New Roman"/>
                <w:kern w:val="2"/>
                <w:sz w:val="21"/>
                <w:szCs w:val="24"/>
                <w:highlight w:val="none"/>
                <w:lang w:eastAsia="zh-CN"/>
              </w:rPr>
              <w:t>；</w:t>
            </w:r>
          </w:p>
          <w:p w14:paraId="3DF65F38">
            <w:pPr>
              <w:pStyle w:val="9"/>
              <w:snapToGrid w:val="0"/>
              <w:spacing w:line="360" w:lineRule="exact"/>
              <w:rPr>
                <w:rFonts w:ascii="Times New Roman" w:hAnsi="Times New Roman" w:eastAsia="宋体" w:cs="Times New Roman"/>
                <w:kern w:val="2"/>
                <w:sz w:val="21"/>
                <w:szCs w:val="21"/>
                <w:highlight w:val="none"/>
                <w:lang w:val="en-US" w:eastAsia="zh-CN" w:bidi="ar-SA"/>
              </w:rPr>
            </w:pPr>
            <w:r>
              <w:rPr>
                <w:rFonts w:hint="eastAsia" w:ascii="Times New Roman" w:hAnsi="Times New Roman"/>
                <w:sz w:val="21"/>
                <w:szCs w:val="21"/>
                <w:highlight w:val="none"/>
                <w:lang w:val="en-US" w:eastAsia="zh-CN"/>
              </w:rPr>
              <w:t>其他人员中</w:t>
            </w:r>
            <w:r>
              <w:rPr>
                <w:rFonts w:hint="eastAsia" w:ascii="Times New Roman" w:hAnsi="Times New Roman"/>
                <w:color w:val="auto"/>
                <w:kern w:val="2"/>
                <w:sz w:val="21"/>
                <w:szCs w:val="21"/>
                <w:highlight w:val="none"/>
                <w:lang w:eastAsia="zh-CN"/>
              </w:rPr>
              <w:t>每</w:t>
            </w:r>
            <w:r>
              <w:rPr>
                <w:rFonts w:hint="eastAsia" w:ascii="Times New Roman" w:hAnsi="Times New Roman"/>
                <w:color w:val="auto"/>
                <w:kern w:val="2"/>
                <w:sz w:val="21"/>
                <w:szCs w:val="21"/>
                <w:highlight w:val="none"/>
                <w:lang w:val="en-US" w:eastAsia="zh-CN"/>
              </w:rPr>
              <w:t>增加一名注册会计师或一级注册造价工程师(或交通运输部公路工程甲级造价人员)</w:t>
            </w:r>
            <w:r>
              <w:rPr>
                <w:rFonts w:hint="eastAsia" w:ascii="Times New Roman" w:hAnsi="Times New Roman"/>
                <w:color w:val="auto"/>
                <w:kern w:val="2"/>
                <w:sz w:val="21"/>
                <w:szCs w:val="21"/>
                <w:highlight w:val="none"/>
              </w:rPr>
              <w:t>人员加2分，</w:t>
            </w:r>
            <w:r>
              <w:rPr>
                <w:rFonts w:hint="eastAsia" w:ascii="Times New Roman" w:hAnsi="Times New Roman"/>
                <w:color w:val="auto"/>
                <w:kern w:val="2"/>
                <w:sz w:val="21"/>
                <w:szCs w:val="21"/>
                <w:highlight w:val="none"/>
                <w:lang w:val="en-US" w:eastAsia="zh-CN"/>
              </w:rPr>
              <w:t>同一人员不重复加分，</w:t>
            </w:r>
            <w:r>
              <w:rPr>
                <w:rFonts w:hint="eastAsia" w:ascii="Times New Roman" w:hAnsi="Times New Roman"/>
                <w:color w:val="auto"/>
                <w:kern w:val="2"/>
                <w:sz w:val="21"/>
                <w:szCs w:val="21"/>
                <w:highlight w:val="none"/>
              </w:rPr>
              <w:t>最高加</w:t>
            </w:r>
            <w:r>
              <w:rPr>
                <w:rFonts w:hint="eastAsia" w:ascii="Times New Roman" w:hAnsi="Times New Roman"/>
                <w:color w:val="auto"/>
                <w:kern w:val="2"/>
                <w:sz w:val="21"/>
                <w:szCs w:val="21"/>
                <w:highlight w:val="none"/>
                <w:lang w:val="en-US" w:eastAsia="zh-CN"/>
              </w:rPr>
              <w:t>4</w:t>
            </w:r>
            <w:r>
              <w:rPr>
                <w:rFonts w:hint="eastAsia" w:ascii="Times New Roman" w:hAnsi="Times New Roman"/>
                <w:color w:val="auto"/>
                <w:kern w:val="2"/>
                <w:sz w:val="21"/>
                <w:szCs w:val="21"/>
                <w:highlight w:val="none"/>
              </w:rPr>
              <w:t>分。</w:t>
            </w:r>
            <w:r>
              <w:rPr>
                <w:rFonts w:hint="eastAsia" w:ascii="Times New Roman" w:hAnsi="Times New Roman"/>
                <w:color w:val="auto"/>
                <w:kern w:val="2"/>
                <w:sz w:val="21"/>
                <w:szCs w:val="21"/>
                <w:highlight w:val="none"/>
                <w:lang w:eastAsia="zh-CN"/>
              </w:rPr>
              <w:t>（</w:t>
            </w:r>
            <w:r>
              <w:rPr>
                <w:rFonts w:hint="eastAsia" w:ascii="Times New Roman" w:hAnsi="Times New Roman"/>
                <w:color w:val="auto"/>
                <w:kern w:val="2"/>
                <w:sz w:val="21"/>
                <w:szCs w:val="21"/>
                <w:highlight w:val="none"/>
                <w:lang w:val="en-US" w:eastAsia="zh-CN"/>
              </w:rPr>
              <w:t>注册单位名称须与投标人（或联合体成员）名称一致</w:t>
            </w:r>
            <w:r>
              <w:rPr>
                <w:rFonts w:hint="eastAsia" w:ascii="Times New Roman" w:hAnsi="Times New Roman"/>
                <w:color w:val="auto"/>
                <w:kern w:val="2"/>
                <w:sz w:val="21"/>
                <w:szCs w:val="21"/>
                <w:highlight w:val="none"/>
                <w:lang w:eastAsia="zh-CN"/>
              </w:rPr>
              <w:t>）</w:t>
            </w:r>
            <w:r>
              <w:rPr>
                <w:rFonts w:hint="eastAsia" w:ascii="Times New Roman" w:hAnsi="Times New Roman"/>
                <w:color w:val="auto"/>
                <w:kern w:val="2"/>
                <w:sz w:val="21"/>
                <w:szCs w:val="21"/>
                <w:highlight w:val="none"/>
              </w:rPr>
              <w:t>。</w:t>
            </w:r>
          </w:p>
        </w:tc>
      </w:tr>
      <w:tr w14:paraId="7A3B58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19" w:hRule="atLeast"/>
          <w:jc w:val="center"/>
        </w:trPr>
        <w:tc>
          <w:tcPr>
            <w:tcW w:w="817" w:type="dxa"/>
            <w:vMerge w:val="continue"/>
            <w:vAlign w:val="center"/>
          </w:tcPr>
          <w:p w14:paraId="6240B737">
            <w:pPr>
              <w:autoSpaceDE w:val="0"/>
              <w:autoSpaceDN w:val="0"/>
              <w:snapToGrid w:val="0"/>
              <w:ind w:right="11"/>
              <w:jc w:val="center"/>
              <w:rPr>
                <w:rFonts w:ascii="Times New Roman" w:hAnsi="Times New Roman"/>
                <w:kern w:val="0"/>
                <w:szCs w:val="21"/>
                <w:highlight w:val="none"/>
              </w:rPr>
            </w:pPr>
          </w:p>
        </w:tc>
        <w:tc>
          <w:tcPr>
            <w:tcW w:w="928" w:type="dxa"/>
            <w:vMerge w:val="continue"/>
            <w:vAlign w:val="center"/>
          </w:tcPr>
          <w:p w14:paraId="6B00C059">
            <w:pPr>
              <w:autoSpaceDE w:val="0"/>
              <w:autoSpaceDN w:val="0"/>
              <w:snapToGrid w:val="0"/>
              <w:ind w:right="11"/>
              <w:jc w:val="center"/>
              <w:rPr>
                <w:rFonts w:ascii="Times New Roman" w:hAnsi="Times New Roman"/>
                <w:kern w:val="0"/>
                <w:szCs w:val="21"/>
                <w:highlight w:val="none"/>
              </w:rPr>
            </w:pPr>
          </w:p>
        </w:tc>
        <w:tc>
          <w:tcPr>
            <w:tcW w:w="690" w:type="dxa"/>
            <w:vMerge w:val="continue"/>
            <w:vAlign w:val="center"/>
          </w:tcPr>
          <w:p w14:paraId="36624EA8">
            <w:pPr>
              <w:autoSpaceDE w:val="0"/>
              <w:autoSpaceDN w:val="0"/>
              <w:snapToGrid w:val="0"/>
              <w:ind w:right="11"/>
              <w:jc w:val="center"/>
              <w:rPr>
                <w:rFonts w:ascii="Times New Roman" w:hAnsi="Times New Roman"/>
                <w:kern w:val="0"/>
                <w:szCs w:val="21"/>
                <w:highlight w:val="none"/>
              </w:rPr>
            </w:pPr>
          </w:p>
        </w:tc>
        <w:tc>
          <w:tcPr>
            <w:tcW w:w="561" w:type="dxa"/>
            <w:vMerge w:val="restart"/>
            <w:tcBorders>
              <w:right w:val="single" w:color="auto" w:sz="4" w:space="0"/>
            </w:tcBorders>
            <w:vAlign w:val="center"/>
          </w:tcPr>
          <w:p w14:paraId="0F5E932B">
            <w:pPr>
              <w:pStyle w:val="9"/>
              <w:snapToGrid w:val="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实施方案35分</w:t>
            </w:r>
          </w:p>
        </w:tc>
        <w:tc>
          <w:tcPr>
            <w:tcW w:w="1204" w:type="dxa"/>
            <w:gridSpan w:val="2"/>
            <w:tcBorders>
              <w:right w:val="single" w:color="auto" w:sz="4" w:space="0"/>
            </w:tcBorders>
            <w:vAlign w:val="center"/>
          </w:tcPr>
          <w:p w14:paraId="0C12049C">
            <w:pPr>
              <w:pStyle w:val="9"/>
              <w:snapToGrid w:val="0"/>
              <w:jc w:val="center"/>
              <w:rPr>
                <w:rFonts w:ascii="Times New Roman" w:hAnsi="Times New Roman"/>
                <w:sz w:val="21"/>
                <w:szCs w:val="21"/>
                <w:highlight w:val="none"/>
              </w:rPr>
            </w:pPr>
            <w:r>
              <w:rPr>
                <w:rFonts w:ascii="Times New Roman" w:hAnsi="Times New Roman"/>
                <w:sz w:val="21"/>
                <w:szCs w:val="21"/>
                <w:highlight w:val="none"/>
              </w:rPr>
              <w:t>总体方案</w:t>
            </w:r>
          </w:p>
        </w:tc>
        <w:tc>
          <w:tcPr>
            <w:tcW w:w="942" w:type="dxa"/>
            <w:tcBorders>
              <w:left w:val="single" w:color="auto" w:sz="4" w:space="0"/>
              <w:right w:val="single" w:color="auto" w:sz="4" w:space="0"/>
            </w:tcBorders>
            <w:vAlign w:val="center"/>
          </w:tcPr>
          <w:p w14:paraId="374DC447">
            <w:pPr>
              <w:pStyle w:val="9"/>
              <w:snapToGrid w:val="0"/>
              <w:ind w:left="33" w:leftChars="-48" w:right="-31" w:rightChars="-15" w:hanging="134" w:hangingChars="64"/>
              <w:jc w:val="center"/>
              <w:rPr>
                <w:rFonts w:ascii="Times New Roman" w:hAnsi="Times New Roman"/>
                <w:kern w:val="2"/>
                <w:sz w:val="21"/>
                <w:szCs w:val="21"/>
                <w:highlight w:val="none"/>
              </w:rPr>
            </w:pPr>
            <w:r>
              <w:rPr>
                <w:rFonts w:hint="eastAsia" w:ascii="Times New Roman" w:hAnsi="Times New Roman"/>
                <w:kern w:val="2"/>
                <w:sz w:val="21"/>
                <w:szCs w:val="21"/>
                <w:highlight w:val="none"/>
                <w:lang w:val="en-US" w:eastAsia="zh-CN"/>
              </w:rPr>
              <w:t>10</w:t>
            </w:r>
            <w:r>
              <w:rPr>
                <w:rFonts w:ascii="Times New Roman" w:hAnsi="Times New Roman"/>
                <w:kern w:val="2"/>
                <w:sz w:val="21"/>
                <w:szCs w:val="21"/>
                <w:highlight w:val="none"/>
              </w:rPr>
              <w:t>分</w:t>
            </w:r>
          </w:p>
        </w:tc>
        <w:tc>
          <w:tcPr>
            <w:tcW w:w="4494" w:type="dxa"/>
            <w:tcBorders>
              <w:left w:val="single" w:color="auto" w:sz="4" w:space="0"/>
            </w:tcBorders>
            <w:vAlign w:val="center"/>
          </w:tcPr>
          <w:p w14:paraId="69F3C546">
            <w:pPr>
              <w:pStyle w:val="9"/>
              <w:snapToGrid w:val="0"/>
              <w:spacing w:line="360" w:lineRule="exact"/>
              <w:rPr>
                <w:rFonts w:ascii="Times New Roman" w:hAnsi="Times New Roman"/>
                <w:kern w:val="2"/>
                <w:sz w:val="21"/>
                <w:szCs w:val="21"/>
                <w:highlight w:val="none"/>
              </w:rPr>
            </w:pPr>
            <w:r>
              <w:rPr>
                <w:rFonts w:ascii="Times New Roman" w:hAnsi="Times New Roman"/>
                <w:kern w:val="2"/>
                <w:sz w:val="21"/>
                <w:szCs w:val="21"/>
                <w:highlight w:val="none"/>
              </w:rPr>
              <w:t>审计工作的总体规划合理、清晰、详细、全面，具有建设性意见及措施，得</w:t>
            </w:r>
            <w:r>
              <w:rPr>
                <w:rFonts w:hint="eastAsia" w:ascii="Times New Roman" w:hAnsi="Times New Roman"/>
                <w:kern w:val="2"/>
                <w:sz w:val="21"/>
                <w:szCs w:val="21"/>
                <w:highlight w:val="none"/>
                <w:lang w:val="en-US" w:eastAsia="zh-CN"/>
              </w:rPr>
              <w:t>8</w:t>
            </w:r>
            <w:r>
              <w:rPr>
                <w:rFonts w:ascii="Times New Roman" w:hAnsi="Times New Roman"/>
                <w:kern w:val="2"/>
                <w:sz w:val="21"/>
                <w:szCs w:val="21"/>
                <w:highlight w:val="none"/>
              </w:rPr>
              <w:t>.</w:t>
            </w:r>
            <w:r>
              <w:rPr>
                <w:rFonts w:hint="eastAsia" w:ascii="Times New Roman" w:hAnsi="Times New Roman"/>
                <w:kern w:val="2"/>
                <w:sz w:val="21"/>
                <w:szCs w:val="21"/>
                <w:highlight w:val="none"/>
              </w:rPr>
              <w:t>0（不含）</w:t>
            </w:r>
            <w:r>
              <w:rPr>
                <w:rFonts w:ascii="Times New Roman" w:hAnsi="Times New Roman"/>
                <w:kern w:val="2"/>
                <w:sz w:val="21"/>
                <w:szCs w:val="21"/>
                <w:highlight w:val="none"/>
              </w:rPr>
              <w:t>-</w:t>
            </w:r>
            <w:r>
              <w:rPr>
                <w:rFonts w:hint="eastAsia" w:ascii="Times New Roman" w:hAnsi="Times New Roman"/>
                <w:kern w:val="2"/>
                <w:sz w:val="21"/>
                <w:szCs w:val="21"/>
                <w:highlight w:val="none"/>
                <w:lang w:val="en-US" w:eastAsia="zh-CN"/>
              </w:rPr>
              <w:t>10.0</w:t>
            </w:r>
            <w:r>
              <w:rPr>
                <w:rFonts w:hint="eastAsia" w:ascii="Times New Roman" w:hAnsi="Times New Roman"/>
                <w:kern w:val="2"/>
                <w:sz w:val="21"/>
                <w:szCs w:val="21"/>
                <w:highlight w:val="none"/>
              </w:rPr>
              <w:t>（含）</w:t>
            </w:r>
            <w:r>
              <w:rPr>
                <w:rFonts w:ascii="Times New Roman" w:hAnsi="Times New Roman"/>
                <w:kern w:val="2"/>
                <w:sz w:val="21"/>
                <w:szCs w:val="21"/>
                <w:highlight w:val="none"/>
              </w:rPr>
              <w:t>分；较合理、清晰、详细、全面，得</w:t>
            </w:r>
            <w:r>
              <w:rPr>
                <w:rFonts w:hint="eastAsia" w:ascii="Times New Roman" w:hAnsi="Times New Roman"/>
                <w:kern w:val="2"/>
                <w:sz w:val="21"/>
                <w:szCs w:val="21"/>
                <w:highlight w:val="none"/>
                <w:lang w:val="en-US" w:eastAsia="zh-CN"/>
              </w:rPr>
              <w:t>6</w:t>
            </w:r>
            <w:r>
              <w:rPr>
                <w:rFonts w:ascii="Times New Roman" w:hAnsi="Times New Roman"/>
                <w:kern w:val="2"/>
                <w:sz w:val="21"/>
                <w:szCs w:val="21"/>
                <w:highlight w:val="none"/>
              </w:rPr>
              <w:t>.0（不含）-</w:t>
            </w:r>
            <w:r>
              <w:rPr>
                <w:rFonts w:hint="eastAsia" w:ascii="Times New Roman" w:hAnsi="Times New Roman"/>
                <w:kern w:val="2"/>
                <w:sz w:val="21"/>
                <w:szCs w:val="21"/>
                <w:highlight w:val="none"/>
                <w:lang w:val="en-US" w:eastAsia="zh-CN"/>
              </w:rPr>
              <w:t>8</w:t>
            </w:r>
            <w:r>
              <w:rPr>
                <w:rFonts w:ascii="Times New Roman" w:hAnsi="Times New Roman"/>
                <w:kern w:val="2"/>
                <w:sz w:val="21"/>
                <w:szCs w:val="21"/>
                <w:highlight w:val="none"/>
              </w:rPr>
              <w:t>.0（含）分；一般，得</w:t>
            </w:r>
            <w:r>
              <w:rPr>
                <w:rFonts w:hint="eastAsia" w:ascii="Times New Roman" w:hAnsi="Times New Roman"/>
                <w:kern w:val="2"/>
                <w:sz w:val="21"/>
                <w:szCs w:val="21"/>
                <w:highlight w:val="none"/>
                <w:lang w:val="en-US" w:eastAsia="zh-CN"/>
              </w:rPr>
              <w:t>6</w:t>
            </w:r>
            <w:r>
              <w:rPr>
                <w:rFonts w:hint="eastAsia" w:ascii="Times New Roman" w:hAnsi="Times New Roman"/>
                <w:kern w:val="2"/>
                <w:sz w:val="21"/>
                <w:szCs w:val="21"/>
                <w:highlight w:val="none"/>
              </w:rPr>
              <w:t>.0</w:t>
            </w:r>
            <w:r>
              <w:rPr>
                <w:rFonts w:ascii="Times New Roman" w:hAnsi="Times New Roman"/>
                <w:kern w:val="2"/>
                <w:sz w:val="21"/>
                <w:szCs w:val="21"/>
                <w:highlight w:val="none"/>
              </w:rPr>
              <w:t>分。</w:t>
            </w:r>
          </w:p>
        </w:tc>
      </w:tr>
      <w:tr w14:paraId="54BAC5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11" w:hRule="atLeast"/>
          <w:jc w:val="center"/>
        </w:trPr>
        <w:tc>
          <w:tcPr>
            <w:tcW w:w="817" w:type="dxa"/>
            <w:vMerge w:val="continue"/>
            <w:vAlign w:val="center"/>
          </w:tcPr>
          <w:p w14:paraId="36C0F8B7">
            <w:pPr>
              <w:autoSpaceDE w:val="0"/>
              <w:autoSpaceDN w:val="0"/>
              <w:snapToGrid w:val="0"/>
              <w:ind w:right="11"/>
              <w:jc w:val="center"/>
              <w:rPr>
                <w:rFonts w:ascii="Times New Roman" w:hAnsi="Times New Roman"/>
                <w:kern w:val="0"/>
                <w:szCs w:val="21"/>
                <w:highlight w:val="none"/>
              </w:rPr>
            </w:pPr>
          </w:p>
        </w:tc>
        <w:tc>
          <w:tcPr>
            <w:tcW w:w="928" w:type="dxa"/>
            <w:vMerge w:val="continue"/>
            <w:vAlign w:val="center"/>
          </w:tcPr>
          <w:p w14:paraId="5A4E3B02">
            <w:pPr>
              <w:autoSpaceDE w:val="0"/>
              <w:autoSpaceDN w:val="0"/>
              <w:snapToGrid w:val="0"/>
              <w:ind w:right="11"/>
              <w:jc w:val="center"/>
              <w:rPr>
                <w:rFonts w:ascii="Times New Roman" w:hAnsi="Times New Roman"/>
                <w:kern w:val="0"/>
                <w:szCs w:val="21"/>
                <w:highlight w:val="none"/>
              </w:rPr>
            </w:pPr>
          </w:p>
        </w:tc>
        <w:tc>
          <w:tcPr>
            <w:tcW w:w="690" w:type="dxa"/>
            <w:vMerge w:val="continue"/>
            <w:vAlign w:val="center"/>
          </w:tcPr>
          <w:p w14:paraId="08DD3BF0">
            <w:pPr>
              <w:autoSpaceDE w:val="0"/>
              <w:autoSpaceDN w:val="0"/>
              <w:snapToGrid w:val="0"/>
              <w:ind w:right="11"/>
              <w:jc w:val="center"/>
              <w:rPr>
                <w:rFonts w:ascii="Times New Roman" w:hAnsi="Times New Roman"/>
                <w:kern w:val="0"/>
                <w:szCs w:val="21"/>
                <w:highlight w:val="none"/>
              </w:rPr>
            </w:pPr>
          </w:p>
        </w:tc>
        <w:tc>
          <w:tcPr>
            <w:tcW w:w="561" w:type="dxa"/>
            <w:vMerge w:val="continue"/>
            <w:tcBorders>
              <w:right w:val="single" w:color="auto" w:sz="4" w:space="0"/>
            </w:tcBorders>
            <w:vAlign w:val="center"/>
          </w:tcPr>
          <w:p w14:paraId="4ECAC04D">
            <w:pPr>
              <w:pStyle w:val="9"/>
              <w:snapToGrid w:val="0"/>
              <w:jc w:val="center"/>
              <w:rPr>
                <w:rFonts w:ascii="Times New Roman" w:hAnsi="Times New Roman"/>
                <w:sz w:val="21"/>
                <w:szCs w:val="21"/>
                <w:highlight w:val="none"/>
              </w:rPr>
            </w:pPr>
          </w:p>
        </w:tc>
        <w:tc>
          <w:tcPr>
            <w:tcW w:w="1204" w:type="dxa"/>
            <w:gridSpan w:val="2"/>
            <w:tcBorders>
              <w:right w:val="single" w:color="auto" w:sz="4" w:space="0"/>
            </w:tcBorders>
            <w:vAlign w:val="center"/>
          </w:tcPr>
          <w:p w14:paraId="56F425E3">
            <w:pPr>
              <w:pStyle w:val="9"/>
              <w:snapToGrid w:val="0"/>
              <w:jc w:val="center"/>
              <w:rPr>
                <w:rFonts w:ascii="Times New Roman" w:hAnsi="Times New Roman"/>
                <w:kern w:val="2"/>
                <w:sz w:val="21"/>
                <w:szCs w:val="21"/>
                <w:highlight w:val="none"/>
              </w:rPr>
            </w:pPr>
            <w:r>
              <w:rPr>
                <w:rFonts w:ascii="Times New Roman" w:hAnsi="Times New Roman"/>
                <w:sz w:val="21"/>
                <w:szCs w:val="21"/>
                <w:highlight w:val="none"/>
              </w:rPr>
              <w:t>审计范围、内容、步骤及程序</w:t>
            </w:r>
          </w:p>
        </w:tc>
        <w:tc>
          <w:tcPr>
            <w:tcW w:w="942" w:type="dxa"/>
            <w:tcBorders>
              <w:left w:val="single" w:color="auto" w:sz="4" w:space="0"/>
              <w:right w:val="single" w:color="auto" w:sz="4" w:space="0"/>
            </w:tcBorders>
            <w:vAlign w:val="center"/>
          </w:tcPr>
          <w:p w14:paraId="352C437D">
            <w:pPr>
              <w:pStyle w:val="9"/>
              <w:snapToGrid w:val="0"/>
              <w:ind w:left="33" w:leftChars="-48" w:right="-31" w:rightChars="-15" w:hanging="134" w:hangingChars="64"/>
              <w:jc w:val="center"/>
              <w:rPr>
                <w:rFonts w:ascii="Times New Roman" w:hAnsi="Times New Roman"/>
                <w:kern w:val="2"/>
                <w:sz w:val="21"/>
                <w:szCs w:val="21"/>
                <w:highlight w:val="none"/>
              </w:rPr>
            </w:pPr>
            <w:r>
              <w:rPr>
                <w:rFonts w:hint="eastAsia" w:ascii="Times New Roman" w:hAnsi="Times New Roman"/>
                <w:kern w:val="2"/>
                <w:sz w:val="21"/>
                <w:szCs w:val="21"/>
                <w:highlight w:val="none"/>
                <w:lang w:val="en-US" w:eastAsia="zh-CN"/>
              </w:rPr>
              <w:t>10</w:t>
            </w:r>
            <w:r>
              <w:rPr>
                <w:rFonts w:ascii="Times New Roman" w:hAnsi="Times New Roman"/>
                <w:kern w:val="2"/>
                <w:sz w:val="21"/>
                <w:szCs w:val="21"/>
                <w:highlight w:val="none"/>
              </w:rPr>
              <w:t>分</w:t>
            </w:r>
          </w:p>
        </w:tc>
        <w:tc>
          <w:tcPr>
            <w:tcW w:w="4494" w:type="dxa"/>
            <w:tcBorders>
              <w:left w:val="single" w:color="auto" w:sz="4" w:space="0"/>
            </w:tcBorders>
            <w:vAlign w:val="center"/>
          </w:tcPr>
          <w:p w14:paraId="04AE2925">
            <w:pPr>
              <w:pStyle w:val="9"/>
              <w:snapToGrid w:val="0"/>
              <w:spacing w:line="360" w:lineRule="exact"/>
              <w:rPr>
                <w:rFonts w:ascii="Times New Roman" w:hAnsi="Times New Roman"/>
                <w:sz w:val="21"/>
                <w:szCs w:val="21"/>
                <w:highlight w:val="none"/>
              </w:rPr>
            </w:pPr>
            <w:r>
              <w:rPr>
                <w:rFonts w:ascii="Times New Roman" w:hAnsi="Times New Roman"/>
                <w:sz w:val="21"/>
                <w:szCs w:val="21"/>
                <w:highlight w:val="none"/>
              </w:rPr>
              <w:t>审计范围、内容、步骤及程序明确、合理、可行性强，得</w:t>
            </w:r>
            <w:r>
              <w:rPr>
                <w:rFonts w:hint="eastAsia" w:ascii="Times New Roman" w:hAnsi="Times New Roman"/>
                <w:kern w:val="2"/>
                <w:sz w:val="21"/>
                <w:szCs w:val="21"/>
                <w:highlight w:val="none"/>
                <w:lang w:val="en-US" w:eastAsia="zh-CN"/>
              </w:rPr>
              <w:t>8</w:t>
            </w:r>
            <w:r>
              <w:rPr>
                <w:rFonts w:ascii="Times New Roman" w:hAnsi="Times New Roman"/>
                <w:kern w:val="2"/>
                <w:sz w:val="21"/>
                <w:szCs w:val="21"/>
                <w:highlight w:val="none"/>
              </w:rPr>
              <w:t>.</w:t>
            </w:r>
            <w:r>
              <w:rPr>
                <w:rFonts w:hint="eastAsia" w:ascii="Times New Roman" w:hAnsi="Times New Roman"/>
                <w:kern w:val="2"/>
                <w:sz w:val="21"/>
                <w:szCs w:val="21"/>
                <w:highlight w:val="none"/>
              </w:rPr>
              <w:t>0（不含）</w:t>
            </w:r>
            <w:r>
              <w:rPr>
                <w:rFonts w:ascii="Times New Roman" w:hAnsi="Times New Roman"/>
                <w:kern w:val="2"/>
                <w:sz w:val="21"/>
                <w:szCs w:val="21"/>
                <w:highlight w:val="none"/>
              </w:rPr>
              <w:t>-</w:t>
            </w:r>
            <w:r>
              <w:rPr>
                <w:rFonts w:hint="eastAsia" w:ascii="Times New Roman" w:hAnsi="Times New Roman"/>
                <w:kern w:val="2"/>
                <w:sz w:val="21"/>
                <w:szCs w:val="21"/>
                <w:highlight w:val="none"/>
                <w:lang w:val="en-US" w:eastAsia="zh-CN"/>
              </w:rPr>
              <w:t>10.0</w:t>
            </w:r>
            <w:r>
              <w:rPr>
                <w:rFonts w:hint="eastAsia" w:ascii="Times New Roman" w:hAnsi="Times New Roman"/>
                <w:kern w:val="2"/>
                <w:sz w:val="21"/>
                <w:szCs w:val="21"/>
                <w:highlight w:val="none"/>
              </w:rPr>
              <w:t>（含）</w:t>
            </w:r>
            <w:r>
              <w:rPr>
                <w:rFonts w:ascii="Times New Roman" w:hAnsi="Times New Roman"/>
                <w:kern w:val="2"/>
                <w:sz w:val="21"/>
                <w:szCs w:val="21"/>
                <w:highlight w:val="none"/>
              </w:rPr>
              <w:t>分</w:t>
            </w:r>
            <w:r>
              <w:rPr>
                <w:rFonts w:ascii="Times New Roman" w:hAnsi="Times New Roman"/>
                <w:sz w:val="21"/>
                <w:szCs w:val="21"/>
                <w:highlight w:val="none"/>
              </w:rPr>
              <w:t>；较明确、合理，得</w:t>
            </w:r>
            <w:r>
              <w:rPr>
                <w:rFonts w:hint="eastAsia" w:ascii="Times New Roman" w:hAnsi="Times New Roman"/>
                <w:kern w:val="2"/>
                <w:sz w:val="21"/>
                <w:szCs w:val="21"/>
                <w:highlight w:val="none"/>
                <w:lang w:val="en-US" w:eastAsia="zh-CN"/>
              </w:rPr>
              <w:t>6</w:t>
            </w:r>
            <w:r>
              <w:rPr>
                <w:rFonts w:ascii="Times New Roman" w:hAnsi="Times New Roman"/>
                <w:kern w:val="2"/>
                <w:sz w:val="21"/>
                <w:szCs w:val="21"/>
                <w:highlight w:val="none"/>
              </w:rPr>
              <w:t>.0（不含）-</w:t>
            </w:r>
            <w:r>
              <w:rPr>
                <w:rFonts w:hint="eastAsia" w:ascii="Times New Roman" w:hAnsi="Times New Roman"/>
                <w:kern w:val="2"/>
                <w:sz w:val="21"/>
                <w:szCs w:val="21"/>
                <w:highlight w:val="none"/>
                <w:lang w:val="en-US" w:eastAsia="zh-CN"/>
              </w:rPr>
              <w:t>8</w:t>
            </w:r>
            <w:r>
              <w:rPr>
                <w:rFonts w:ascii="Times New Roman" w:hAnsi="Times New Roman"/>
                <w:kern w:val="2"/>
                <w:sz w:val="21"/>
                <w:szCs w:val="21"/>
                <w:highlight w:val="none"/>
              </w:rPr>
              <w:t>.0（含）分</w:t>
            </w:r>
            <w:r>
              <w:rPr>
                <w:rFonts w:ascii="Times New Roman" w:hAnsi="Times New Roman"/>
                <w:sz w:val="21"/>
                <w:szCs w:val="21"/>
                <w:highlight w:val="none"/>
              </w:rPr>
              <w:t>；</w:t>
            </w:r>
            <w:r>
              <w:rPr>
                <w:rFonts w:ascii="Times New Roman" w:hAnsi="Times New Roman"/>
                <w:kern w:val="2"/>
                <w:sz w:val="21"/>
                <w:szCs w:val="21"/>
                <w:highlight w:val="none"/>
              </w:rPr>
              <w:t>一般，得</w:t>
            </w:r>
            <w:r>
              <w:rPr>
                <w:rFonts w:hint="eastAsia" w:ascii="Times New Roman" w:hAnsi="Times New Roman"/>
                <w:kern w:val="2"/>
                <w:sz w:val="21"/>
                <w:szCs w:val="21"/>
                <w:highlight w:val="none"/>
                <w:lang w:val="en-US" w:eastAsia="zh-CN"/>
              </w:rPr>
              <w:t>6</w:t>
            </w:r>
            <w:r>
              <w:rPr>
                <w:rFonts w:hint="eastAsia" w:ascii="Times New Roman" w:hAnsi="Times New Roman"/>
                <w:kern w:val="2"/>
                <w:sz w:val="21"/>
                <w:szCs w:val="21"/>
                <w:highlight w:val="none"/>
              </w:rPr>
              <w:t>.0</w:t>
            </w:r>
            <w:r>
              <w:rPr>
                <w:rFonts w:ascii="Times New Roman" w:hAnsi="Times New Roman"/>
                <w:kern w:val="2"/>
                <w:sz w:val="21"/>
                <w:szCs w:val="21"/>
                <w:highlight w:val="none"/>
              </w:rPr>
              <w:t>分。</w:t>
            </w:r>
          </w:p>
        </w:tc>
      </w:tr>
      <w:tr w14:paraId="4C9403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43" w:hRule="atLeast"/>
          <w:jc w:val="center"/>
        </w:trPr>
        <w:tc>
          <w:tcPr>
            <w:tcW w:w="817" w:type="dxa"/>
            <w:vMerge w:val="continue"/>
            <w:vAlign w:val="center"/>
          </w:tcPr>
          <w:p w14:paraId="3884F767">
            <w:pPr>
              <w:autoSpaceDE w:val="0"/>
              <w:autoSpaceDN w:val="0"/>
              <w:snapToGrid w:val="0"/>
              <w:ind w:right="11"/>
              <w:jc w:val="center"/>
              <w:rPr>
                <w:rFonts w:ascii="Times New Roman" w:hAnsi="Times New Roman"/>
                <w:kern w:val="0"/>
                <w:szCs w:val="21"/>
                <w:highlight w:val="none"/>
              </w:rPr>
            </w:pPr>
          </w:p>
        </w:tc>
        <w:tc>
          <w:tcPr>
            <w:tcW w:w="928" w:type="dxa"/>
            <w:vMerge w:val="continue"/>
            <w:vAlign w:val="center"/>
          </w:tcPr>
          <w:p w14:paraId="47B10184">
            <w:pPr>
              <w:autoSpaceDE w:val="0"/>
              <w:autoSpaceDN w:val="0"/>
              <w:snapToGrid w:val="0"/>
              <w:ind w:right="11"/>
              <w:jc w:val="center"/>
              <w:rPr>
                <w:rFonts w:ascii="Times New Roman" w:hAnsi="Times New Roman"/>
                <w:kern w:val="0"/>
                <w:szCs w:val="21"/>
                <w:highlight w:val="none"/>
              </w:rPr>
            </w:pPr>
          </w:p>
        </w:tc>
        <w:tc>
          <w:tcPr>
            <w:tcW w:w="690" w:type="dxa"/>
            <w:vMerge w:val="continue"/>
            <w:vAlign w:val="center"/>
          </w:tcPr>
          <w:p w14:paraId="635704D9">
            <w:pPr>
              <w:autoSpaceDE w:val="0"/>
              <w:autoSpaceDN w:val="0"/>
              <w:snapToGrid w:val="0"/>
              <w:ind w:right="11"/>
              <w:jc w:val="center"/>
              <w:rPr>
                <w:rFonts w:ascii="Times New Roman" w:hAnsi="Times New Roman"/>
                <w:kern w:val="0"/>
                <w:szCs w:val="21"/>
                <w:highlight w:val="none"/>
              </w:rPr>
            </w:pPr>
          </w:p>
        </w:tc>
        <w:tc>
          <w:tcPr>
            <w:tcW w:w="561" w:type="dxa"/>
            <w:vMerge w:val="continue"/>
            <w:tcBorders>
              <w:right w:val="single" w:color="auto" w:sz="4" w:space="0"/>
            </w:tcBorders>
            <w:vAlign w:val="center"/>
          </w:tcPr>
          <w:p w14:paraId="0E28A208">
            <w:pPr>
              <w:autoSpaceDE w:val="0"/>
              <w:autoSpaceDN w:val="0"/>
              <w:snapToGrid w:val="0"/>
              <w:ind w:left="9" w:right="11"/>
              <w:jc w:val="center"/>
              <w:rPr>
                <w:rFonts w:ascii="Times New Roman" w:hAnsi="Times New Roman"/>
                <w:kern w:val="0"/>
                <w:szCs w:val="21"/>
                <w:highlight w:val="none"/>
              </w:rPr>
            </w:pPr>
          </w:p>
        </w:tc>
        <w:tc>
          <w:tcPr>
            <w:tcW w:w="1204" w:type="dxa"/>
            <w:gridSpan w:val="2"/>
            <w:tcBorders>
              <w:right w:val="single" w:color="auto" w:sz="4" w:space="0"/>
            </w:tcBorders>
            <w:vAlign w:val="center"/>
          </w:tcPr>
          <w:p w14:paraId="0814C578">
            <w:pPr>
              <w:autoSpaceDE w:val="0"/>
              <w:autoSpaceDN w:val="0"/>
              <w:snapToGrid w:val="0"/>
              <w:ind w:left="9" w:right="11"/>
              <w:jc w:val="center"/>
              <w:rPr>
                <w:rFonts w:ascii="Times New Roman" w:hAnsi="Times New Roman"/>
                <w:kern w:val="0"/>
                <w:szCs w:val="21"/>
                <w:highlight w:val="none"/>
              </w:rPr>
            </w:pPr>
            <w:r>
              <w:rPr>
                <w:rFonts w:ascii="Times New Roman" w:hAnsi="Times New Roman"/>
                <w:kern w:val="0"/>
                <w:szCs w:val="21"/>
                <w:highlight w:val="none"/>
              </w:rPr>
              <w:t>工作进度安排</w:t>
            </w:r>
          </w:p>
        </w:tc>
        <w:tc>
          <w:tcPr>
            <w:tcW w:w="942" w:type="dxa"/>
            <w:tcBorders>
              <w:left w:val="single" w:color="auto" w:sz="4" w:space="0"/>
              <w:right w:val="single" w:color="auto" w:sz="4" w:space="0"/>
            </w:tcBorders>
            <w:vAlign w:val="center"/>
          </w:tcPr>
          <w:p w14:paraId="131EA7A9">
            <w:pPr>
              <w:pStyle w:val="9"/>
              <w:snapToGrid w:val="0"/>
              <w:ind w:left="33" w:leftChars="-48" w:right="-31" w:rightChars="-15" w:hanging="134" w:hangingChars="64"/>
              <w:jc w:val="center"/>
              <w:rPr>
                <w:rFonts w:ascii="Times New Roman" w:hAnsi="Times New Roman"/>
                <w:sz w:val="21"/>
                <w:szCs w:val="21"/>
                <w:highlight w:val="none"/>
              </w:rPr>
            </w:pPr>
            <w:r>
              <w:rPr>
                <w:rFonts w:hint="eastAsia" w:ascii="Times New Roman" w:hAnsi="Times New Roman"/>
                <w:kern w:val="2"/>
                <w:sz w:val="21"/>
                <w:szCs w:val="21"/>
                <w:highlight w:val="none"/>
                <w:lang w:val="en-US" w:eastAsia="zh-CN"/>
              </w:rPr>
              <w:t>5</w:t>
            </w:r>
            <w:r>
              <w:rPr>
                <w:rFonts w:ascii="Times New Roman" w:hAnsi="Times New Roman"/>
                <w:kern w:val="2"/>
                <w:sz w:val="21"/>
                <w:szCs w:val="21"/>
                <w:highlight w:val="none"/>
              </w:rPr>
              <w:t>分</w:t>
            </w:r>
          </w:p>
        </w:tc>
        <w:tc>
          <w:tcPr>
            <w:tcW w:w="4494" w:type="dxa"/>
            <w:tcBorders>
              <w:left w:val="single" w:color="auto" w:sz="4" w:space="0"/>
            </w:tcBorders>
            <w:vAlign w:val="center"/>
          </w:tcPr>
          <w:p w14:paraId="3D0FF8FC">
            <w:pPr>
              <w:pStyle w:val="9"/>
              <w:snapToGrid w:val="0"/>
              <w:spacing w:line="360" w:lineRule="exact"/>
              <w:rPr>
                <w:rFonts w:ascii="Times New Roman" w:hAnsi="Times New Roman"/>
                <w:sz w:val="21"/>
                <w:szCs w:val="21"/>
                <w:highlight w:val="none"/>
              </w:rPr>
            </w:pPr>
            <w:r>
              <w:rPr>
                <w:rFonts w:ascii="Times New Roman" w:hAnsi="Times New Roman"/>
                <w:sz w:val="21"/>
                <w:szCs w:val="21"/>
                <w:highlight w:val="none"/>
              </w:rPr>
              <w:t>审计工作进度安排合理、全面性强，得</w:t>
            </w:r>
            <w:r>
              <w:rPr>
                <w:rFonts w:hint="eastAsia" w:ascii="Times New Roman" w:hAnsi="Times New Roman"/>
                <w:kern w:val="2"/>
                <w:sz w:val="21"/>
                <w:szCs w:val="21"/>
                <w:highlight w:val="none"/>
                <w:lang w:val="en-US" w:eastAsia="zh-CN"/>
              </w:rPr>
              <w:t>4</w:t>
            </w:r>
            <w:r>
              <w:rPr>
                <w:rFonts w:ascii="Times New Roman" w:hAnsi="Times New Roman"/>
                <w:kern w:val="2"/>
                <w:sz w:val="21"/>
                <w:szCs w:val="21"/>
                <w:highlight w:val="none"/>
              </w:rPr>
              <w:t>.</w:t>
            </w:r>
            <w:r>
              <w:rPr>
                <w:rFonts w:hint="eastAsia" w:ascii="Times New Roman" w:hAnsi="Times New Roman"/>
                <w:kern w:val="2"/>
                <w:sz w:val="21"/>
                <w:szCs w:val="21"/>
                <w:highlight w:val="none"/>
              </w:rPr>
              <w:t>0</w:t>
            </w:r>
            <w:r>
              <w:rPr>
                <w:rFonts w:ascii="Times New Roman" w:hAnsi="Times New Roman"/>
                <w:kern w:val="2"/>
                <w:sz w:val="21"/>
                <w:szCs w:val="21"/>
                <w:highlight w:val="none"/>
              </w:rPr>
              <w:t>（不含）-</w:t>
            </w:r>
            <w:r>
              <w:rPr>
                <w:rFonts w:hint="eastAsia" w:ascii="Times New Roman" w:hAnsi="Times New Roman"/>
                <w:kern w:val="2"/>
                <w:sz w:val="21"/>
                <w:szCs w:val="21"/>
                <w:highlight w:val="none"/>
                <w:lang w:val="en-US" w:eastAsia="zh-CN"/>
              </w:rPr>
              <w:t>5</w:t>
            </w:r>
            <w:r>
              <w:rPr>
                <w:rFonts w:hint="eastAsia" w:ascii="Times New Roman" w:hAnsi="Times New Roman"/>
                <w:kern w:val="2"/>
                <w:sz w:val="21"/>
                <w:szCs w:val="21"/>
                <w:highlight w:val="none"/>
              </w:rPr>
              <w:t>.0（含）</w:t>
            </w:r>
            <w:r>
              <w:rPr>
                <w:rFonts w:ascii="Times New Roman" w:hAnsi="Times New Roman"/>
                <w:sz w:val="21"/>
                <w:szCs w:val="21"/>
                <w:highlight w:val="none"/>
              </w:rPr>
              <w:t>分；合理性、全面性</w:t>
            </w:r>
            <w:r>
              <w:rPr>
                <w:rFonts w:hint="eastAsia" w:ascii="Times New Roman" w:hAnsi="Times New Roman"/>
                <w:sz w:val="21"/>
                <w:szCs w:val="21"/>
                <w:highlight w:val="none"/>
              </w:rPr>
              <w:t>较</w:t>
            </w:r>
            <w:r>
              <w:rPr>
                <w:rFonts w:ascii="Times New Roman" w:hAnsi="Times New Roman"/>
                <w:sz w:val="21"/>
                <w:szCs w:val="21"/>
                <w:highlight w:val="none"/>
              </w:rPr>
              <w:t>强，得</w:t>
            </w:r>
            <w:r>
              <w:rPr>
                <w:rFonts w:hint="eastAsia" w:ascii="Times New Roman" w:hAnsi="Times New Roman"/>
                <w:kern w:val="2"/>
                <w:sz w:val="21"/>
                <w:szCs w:val="21"/>
                <w:highlight w:val="none"/>
                <w:lang w:val="en-US" w:eastAsia="zh-CN"/>
              </w:rPr>
              <w:t>3</w:t>
            </w:r>
            <w:r>
              <w:rPr>
                <w:rFonts w:hint="eastAsia" w:ascii="Times New Roman" w:hAnsi="Times New Roman"/>
                <w:kern w:val="2"/>
                <w:sz w:val="21"/>
                <w:szCs w:val="21"/>
                <w:highlight w:val="none"/>
              </w:rPr>
              <w:t>.0</w:t>
            </w:r>
            <w:r>
              <w:rPr>
                <w:rFonts w:ascii="Times New Roman" w:hAnsi="Times New Roman"/>
                <w:kern w:val="2"/>
                <w:sz w:val="21"/>
                <w:szCs w:val="21"/>
                <w:highlight w:val="none"/>
              </w:rPr>
              <w:t>（不含）-</w:t>
            </w:r>
            <w:r>
              <w:rPr>
                <w:rFonts w:hint="eastAsia" w:ascii="Times New Roman" w:hAnsi="Times New Roman"/>
                <w:kern w:val="2"/>
                <w:sz w:val="21"/>
                <w:szCs w:val="21"/>
                <w:highlight w:val="none"/>
                <w:lang w:val="en-US" w:eastAsia="zh-CN"/>
              </w:rPr>
              <w:t>4</w:t>
            </w:r>
            <w:r>
              <w:rPr>
                <w:rFonts w:ascii="Times New Roman" w:hAnsi="Times New Roman"/>
                <w:kern w:val="2"/>
                <w:sz w:val="21"/>
                <w:szCs w:val="21"/>
                <w:highlight w:val="none"/>
              </w:rPr>
              <w:t>.0</w:t>
            </w:r>
            <w:r>
              <w:rPr>
                <w:rFonts w:hint="eastAsia" w:ascii="Times New Roman" w:hAnsi="Times New Roman"/>
                <w:kern w:val="2"/>
                <w:sz w:val="21"/>
                <w:szCs w:val="21"/>
                <w:highlight w:val="none"/>
              </w:rPr>
              <w:t>（含）</w:t>
            </w:r>
            <w:r>
              <w:rPr>
                <w:rFonts w:ascii="Times New Roman" w:hAnsi="Times New Roman"/>
                <w:sz w:val="21"/>
                <w:szCs w:val="21"/>
                <w:highlight w:val="none"/>
              </w:rPr>
              <w:t>分；</w:t>
            </w:r>
            <w:r>
              <w:rPr>
                <w:rFonts w:ascii="Times New Roman" w:hAnsi="Times New Roman"/>
                <w:kern w:val="2"/>
                <w:sz w:val="21"/>
                <w:szCs w:val="21"/>
                <w:highlight w:val="none"/>
              </w:rPr>
              <w:t>一般，得</w:t>
            </w:r>
            <w:r>
              <w:rPr>
                <w:rFonts w:hint="eastAsia" w:ascii="Times New Roman" w:hAnsi="Times New Roman"/>
                <w:kern w:val="2"/>
                <w:sz w:val="21"/>
                <w:szCs w:val="21"/>
                <w:highlight w:val="none"/>
                <w:lang w:val="en-US" w:eastAsia="zh-CN"/>
              </w:rPr>
              <w:t>3</w:t>
            </w:r>
            <w:r>
              <w:rPr>
                <w:rFonts w:hint="eastAsia" w:ascii="Times New Roman" w:hAnsi="Times New Roman"/>
                <w:kern w:val="2"/>
                <w:sz w:val="21"/>
                <w:szCs w:val="21"/>
                <w:highlight w:val="none"/>
              </w:rPr>
              <w:t>.0</w:t>
            </w:r>
            <w:r>
              <w:rPr>
                <w:rFonts w:ascii="Times New Roman" w:hAnsi="Times New Roman"/>
                <w:kern w:val="2"/>
                <w:sz w:val="21"/>
                <w:szCs w:val="21"/>
                <w:highlight w:val="none"/>
              </w:rPr>
              <w:t>分。</w:t>
            </w:r>
          </w:p>
        </w:tc>
      </w:tr>
      <w:tr w14:paraId="3C65AD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58" w:hRule="atLeast"/>
          <w:jc w:val="center"/>
        </w:trPr>
        <w:tc>
          <w:tcPr>
            <w:tcW w:w="817" w:type="dxa"/>
            <w:vMerge w:val="continue"/>
            <w:vAlign w:val="center"/>
          </w:tcPr>
          <w:p w14:paraId="3E9231E8">
            <w:pPr>
              <w:autoSpaceDE w:val="0"/>
              <w:autoSpaceDN w:val="0"/>
              <w:snapToGrid w:val="0"/>
              <w:ind w:right="11"/>
              <w:jc w:val="center"/>
              <w:rPr>
                <w:rFonts w:ascii="Times New Roman" w:hAnsi="Times New Roman"/>
                <w:kern w:val="0"/>
                <w:szCs w:val="21"/>
                <w:highlight w:val="none"/>
              </w:rPr>
            </w:pPr>
          </w:p>
        </w:tc>
        <w:tc>
          <w:tcPr>
            <w:tcW w:w="928" w:type="dxa"/>
            <w:vMerge w:val="continue"/>
            <w:vAlign w:val="center"/>
          </w:tcPr>
          <w:p w14:paraId="33EC39E7">
            <w:pPr>
              <w:autoSpaceDE w:val="0"/>
              <w:autoSpaceDN w:val="0"/>
              <w:snapToGrid w:val="0"/>
              <w:ind w:right="11"/>
              <w:jc w:val="center"/>
              <w:rPr>
                <w:rFonts w:ascii="Times New Roman" w:hAnsi="Times New Roman"/>
                <w:kern w:val="0"/>
                <w:szCs w:val="21"/>
                <w:highlight w:val="none"/>
              </w:rPr>
            </w:pPr>
          </w:p>
        </w:tc>
        <w:tc>
          <w:tcPr>
            <w:tcW w:w="690" w:type="dxa"/>
            <w:vMerge w:val="continue"/>
            <w:vAlign w:val="center"/>
          </w:tcPr>
          <w:p w14:paraId="45982BD9">
            <w:pPr>
              <w:autoSpaceDE w:val="0"/>
              <w:autoSpaceDN w:val="0"/>
              <w:snapToGrid w:val="0"/>
              <w:ind w:right="11"/>
              <w:jc w:val="center"/>
              <w:rPr>
                <w:rFonts w:ascii="Times New Roman" w:hAnsi="Times New Roman"/>
                <w:kern w:val="0"/>
                <w:szCs w:val="21"/>
                <w:highlight w:val="none"/>
              </w:rPr>
            </w:pPr>
          </w:p>
        </w:tc>
        <w:tc>
          <w:tcPr>
            <w:tcW w:w="561" w:type="dxa"/>
            <w:vMerge w:val="continue"/>
            <w:tcBorders>
              <w:right w:val="single" w:color="auto" w:sz="4" w:space="0"/>
            </w:tcBorders>
            <w:vAlign w:val="center"/>
          </w:tcPr>
          <w:p w14:paraId="1393C23C">
            <w:pPr>
              <w:pStyle w:val="9"/>
              <w:snapToGrid w:val="0"/>
              <w:jc w:val="center"/>
              <w:rPr>
                <w:rFonts w:ascii="Times New Roman" w:hAnsi="Times New Roman"/>
                <w:kern w:val="2"/>
                <w:sz w:val="21"/>
                <w:szCs w:val="21"/>
                <w:highlight w:val="none"/>
              </w:rPr>
            </w:pPr>
          </w:p>
        </w:tc>
        <w:tc>
          <w:tcPr>
            <w:tcW w:w="1204" w:type="dxa"/>
            <w:gridSpan w:val="2"/>
            <w:tcBorders>
              <w:right w:val="single" w:color="auto" w:sz="4" w:space="0"/>
            </w:tcBorders>
            <w:vAlign w:val="center"/>
          </w:tcPr>
          <w:p w14:paraId="05A0F302">
            <w:pPr>
              <w:pStyle w:val="9"/>
              <w:snapToGrid w:val="0"/>
              <w:jc w:val="center"/>
              <w:rPr>
                <w:rFonts w:ascii="Times New Roman" w:hAnsi="Times New Roman"/>
                <w:kern w:val="2"/>
                <w:sz w:val="21"/>
                <w:szCs w:val="21"/>
                <w:highlight w:val="none"/>
              </w:rPr>
            </w:pPr>
            <w:r>
              <w:rPr>
                <w:rFonts w:ascii="Times New Roman" w:hAnsi="Times New Roman"/>
                <w:kern w:val="2"/>
                <w:sz w:val="21"/>
                <w:szCs w:val="21"/>
                <w:highlight w:val="none"/>
              </w:rPr>
              <w:t>工作质量控制</w:t>
            </w:r>
          </w:p>
        </w:tc>
        <w:tc>
          <w:tcPr>
            <w:tcW w:w="942" w:type="dxa"/>
            <w:tcBorders>
              <w:left w:val="single" w:color="auto" w:sz="4" w:space="0"/>
              <w:right w:val="single" w:color="auto" w:sz="4" w:space="0"/>
            </w:tcBorders>
            <w:vAlign w:val="center"/>
          </w:tcPr>
          <w:p w14:paraId="5845825A">
            <w:pPr>
              <w:pStyle w:val="9"/>
              <w:snapToGrid w:val="0"/>
              <w:jc w:val="center"/>
              <w:rPr>
                <w:rFonts w:ascii="Times New Roman" w:hAnsi="Times New Roman"/>
                <w:kern w:val="2"/>
                <w:sz w:val="21"/>
                <w:szCs w:val="21"/>
                <w:highlight w:val="none"/>
              </w:rPr>
            </w:pPr>
            <w:r>
              <w:rPr>
                <w:rFonts w:hint="eastAsia" w:ascii="Times New Roman" w:hAnsi="Times New Roman"/>
                <w:kern w:val="2"/>
                <w:sz w:val="21"/>
                <w:szCs w:val="21"/>
                <w:highlight w:val="none"/>
                <w:lang w:val="en-US" w:eastAsia="zh-CN"/>
              </w:rPr>
              <w:t>5</w:t>
            </w:r>
            <w:r>
              <w:rPr>
                <w:rFonts w:ascii="Times New Roman" w:hAnsi="Times New Roman"/>
                <w:kern w:val="2"/>
                <w:sz w:val="21"/>
                <w:szCs w:val="21"/>
                <w:highlight w:val="none"/>
              </w:rPr>
              <w:t>分</w:t>
            </w:r>
          </w:p>
        </w:tc>
        <w:tc>
          <w:tcPr>
            <w:tcW w:w="4494" w:type="dxa"/>
            <w:tcBorders>
              <w:left w:val="single" w:color="auto" w:sz="4" w:space="0"/>
            </w:tcBorders>
            <w:vAlign w:val="center"/>
          </w:tcPr>
          <w:p w14:paraId="7C0F8EC9">
            <w:pPr>
              <w:pStyle w:val="9"/>
              <w:snapToGrid w:val="0"/>
              <w:spacing w:line="360" w:lineRule="exact"/>
              <w:rPr>
                <w:rFonts w:ascii="Times New Roman" w:hAnsi="Times New Roman"/>
                <w:sz w:val="21"/>
                <w:szCs w:val="21"/>
                <w:highlight w:val="none"/>
              </w:rPr>
            </w:pPr>
            <w:r>
              <w:rPr>
                <w:rFonts w:ascii="Times New Roman" w:hAnsi="Times New Roman"/>
                <w:sz w:val="21"/>
                <w:szCs w:val="21"/>
                <w:highlight w:val="none"/>
              </w:rPr>
              <w:t>审计工作质量控制和方法可行有效，程序合理明确，得</w:t>
            </w:r>
            <w:r>
              <w:rPr>
                <w:rFonts w:hint="eastAsia" w:ascii="Times New Roman" w:hAnsi="Times New Roman"/>
                <w:kern w:val="2"/>
                <w:sz w:val="21"/>
                <w:szCs w:val="21"/>
                <w:highlight w:val="none"/>
                <w:lang w:val="en-US" w:eastAsia="zh-CN"/>
              </w:rPr>
              <w:t>4</w:t>
            </w:r>
            <w:r>
              <w:rPr>
                <w:rFonts w:hint="eastAsia" w:ascii="Times New Roman" w:hAnsi="Times New Roman"/>
                <w:kern w:val="2"/>
                <w:sz w:val="21"/>
                <w:szCs w:val="21"/>
                <w:highlight w:val="none"/>
              </w:rPr>
              <w:t>.0</w:t>
            </w:r>
            <w:r>
              <w:rPr>
                <w:rFonts w:ascii="Times New Roman" w:hAnsi="Times New Roman"/>
                <w:kern w:val="2"/>
                <w:sz w:val="21"/>
                <w:szCs w:val="21"/>
                <w:highlight w:val="none"/>
              </w:rPr>
              <w:t>（不含）-</w:t>
            </w:r>
            <w:r>
              <w:rPr>
                <w:rFonts w:hint="eastAsia" w:ascii="Times New Roman" w:hAnsi="Times New Roman"/>
                <w:kern w:val="2"/>
                <w:sz w:val="21"/>
                <w:szCs w:val="21"/>
                <w:highlight w:val="none"/>
              </w:rPr>
              <w:t>5.0（含）</w:t>
            </w:r>
            <w:r>
              <w:rPr>
                <w:rFonts w:ascii="Times New Roman" w:hAnsi="Times New Roman"/>
                <w:sz w:val="21"/>
                <w:szCs w:val="21"/>
                <w:highlight w:val="none"/>
              </w:rPr>
              <w:t>分；较可行有效、程序较合理明确，得</w:t>
            </w:r>
            <w:r>
              <w:rPr>
                <w:rFonts w:hint="eastAsia" w:ascii="Times New Roman" w:hAnsi="Times New Roman"/>
                <w:kern w:val="2"/>
                <w:sz w:val="21"/>
                <w:szCs w:val="21"/>
                <w:highlight w:val="none"/>
                <w:lang w:val="en-US" w:eastAsia="zh-CN"/>
              </w:rPr>
              <w:t>3</w:t>
            </w:r>
            <w:r>
              <w:rPr>
                <w:rFonts w:hint="eastAsia" w:ascii="Times New Roman" w:hAnsi="Times New Roman"/>
                <w:kern w:val="2"/>
                <w:sz w:val="21"/>
                <w:szCs w:val="21"/>
                <w:highlight w:val="none"/>
              </w:rPr>
              <w:t>.0</w:t>
            </w:r>
            <w:r>
              <w:rPr>
                <w:rFonts w:ascii="Times New Roman" w:hAnsi="Times New Roman"/>
                <w:kern w:val="2"/>
                <w:sz w:val="21"/>
                <w:szCs w:val="21"/>
                <w:highlight w:val="none"/>
              </w:rPr>
              <w:t>（不含）-</w:t>
            </w:r>
            <w:r>
              <w:rPr>
                <w:rFonts w:hint="eastAsia" w:ascii="Times New Roman" w:hAnsi="Times New Roman"/>
                <w:kern w:val="2"/>
                <w:sz w:val="21"/>
                <w:szCs w:val="21"/>
                <w:highlight w:val="none"/>
                <w:lang w:val="en-US" w:eastAsia="zh-CN"/>
              </w:rPr>
              <w:t>4</w:t>
            </w:r>
            <w:r>
              <w:rPr>
                <w:rFonts w:ascii="Times New Roman" w:hAnsi="Times New Roman"/>
                <w:kern w:val="2"/>
                <w:sz w:val="21"/>
                <w:szCs w:val="21"/>
                <w:highlight w:val="none"/>
              </w:rPr>
              <w:t>.0</w:t>
            </w:r>
            <w:r>
              <w:rPr>
                <w:rFonts w:hint="eastAsia" w:ascii="Times New Roman" w:hAnsi="Times New Roman"/>
                <w:kern w:val="2"/>
                <w:sz w:val="21"/>
                <w:szCs w:val="21"/>
                <w:highlight w:val="none"/>
              </w:rPr>
              <w:t>（含）</w:t>
            </w:r>
            <w:r>
              <w:rPr>
                <w:rFonts w:ascii="Times New Roman" w:hAnsi="Times New Roman"/>
                <w:sz w:val="21"/>
                <w:szCs w:val="21"/>
                <w:highlight w:val="none"/>
              </w:rPr>
              <w:t>分；</w:t>
            </w:r>
            <w:r>
              <w:rPr>
                <w:rFonts w:ascii="Times New Roman" w:hAnsi="Times New Roman"/>
                <w:kern w:val="2"/>
                <w:sz w:val="21"/>
                <w:szCs w:val="21"/>
                <w:highlight w:val="none"/>
              </w:rPr>
              <w:t>一般，得</w:t>
            </w:r>
            <w:r>
              <w:rPr>
                <w:rFonts w:hint="eastAsia" w:ascii="Times New Roman" w:hAnsi="Times New Roman"/>
                <w:kern w:val="2"/>
                <w:sz w:val="21"/>
                <w:szCs w:val="21"/>
                <w:highlight w:val="none"/>
                <w:lang w:val="en-US" w:eastAsia="zh-CN"/>
              </w:rPr>
              <w:t>3</w:t>
            </w:r>
            <w:r>
              <w:rPr>
                <w:rFonts w:hint="eastAsia" w:ascii="Times New Roman" w:hAnsi="Times New Roman"/>
                <w:kern w:val="2"/>
                <w:sz w:val="21"/>
                <w:szCs w:val="21"/>
                <w:highlight w:val="none"/>
              </w:rPr>
              <w:t>.0</w:t>
            </w:r>
            <w:r>
              <w:rPr>
                <w:rFonts w:ascii="Times New Roman" w:hAnsi="Times New Roman"/>
                <w:kern w:val="2"/>
                <w:sz w:val="21"/>
                <w:szCs w:val="21"/>
                <w:highlight w:val="none"/>
              </w:rPr>
              <w:t>分。</w:t>
            </w:r>
          </w:p>
        </w:tc>
      </w:tr>
      <w:tr w14:paraId="6D2F2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440" w:hRule="atLeast"/>
          <w:jc w:val="center"/>
        </w:trPr>
        <w:tc>
          <w:tcPr>
            <w:tcW w:w="817" w:type="dxa"/>
            <w:vMerge w:val="continue"/>
            <w:vAlign w:val="center"/>
          </w:tcPr>
          <w:p w14:paraId="3AC7CA2B">
            <w:pPr>
              <w:autoSpaceDE w:val="0"/>
              <w:autoSpaceDN w:val="0"/>
              <w:snapToGrid w:val="0"/>
              <w:ind w:right="11"/>
              <w:jc w:val="center"/>
              <w:rPr>
                <w:rFonts w:ascii="Times New Roman" w:hAnsi="Times New Roman"/>
                <w:kern w:val="0"/>
                <w:szCs w:val="21"/>
                <w:highlight w:val="none"/>
              </w:rPr>
            </w:pPr>
          </w:p>
        </w:tc>
        <w:tc>
          <w:tcPr>
            <w:tcW w:w="928" w:type="dxa"/>
            <w:vMerge w:val="continue"/>
            <w:vAlign w:val="center"/>
          </w:tcPr>
          <w:p w14:paraId="60659990">
            <w:pPr>
              <w:autoSpaceDE w:val="0"/>
              <w:autoSpaceDN w:val="0"/>
              <w:snapToGrid w:val="0"/>
              <w:ind w:right="11"/>
              <w:jc w:val="center"/>
              <w:rPr>
                <w:rFonts w:ascii="Times New Roman" w:hAnsi="Times New Roman"/>
                <w:kern w:val="0"/>
                <w:szCs w:val="21"/>
                <w:highlight w:val="none"/>
              </w:rPr>
            </w:pPr>
          </w:p>
        </w:tc>
        <w:tc>
          <w:tcPr>
            <w:tcW w:w="690" w:type="dxa"/>
            <w:vMerge w:val="continue"/>
            <w:vAlign w:val="center"/>
          </w:tcPr>
          <w:p w14:paraId="50073771">
            <w:pPr>
              <w:autoSpaceDE w:val="0"/>
              <w:autoSpaceDN w:val="0"/>
              <w:snapToGrid w:val="0"/>
              <w:ind w:right="11"/>
              <w:jc w:val="center"/>
              <w:rPr>
                <w:rFonts w:ascii="Times New Roman" w:hAnsi="Times New Roman"/>
                <w:kern w:val="0"/>
                <w:szCs w:val="21"/>
                <w:highlight w:val="none"/>
              </w:rPr>
            </w:pPr>
          </w:p>
        </w:tc>
        <w:tc>
          <w:tcPr>
            <w:tcW w:w="561" w:type="dxa"/>
            <w:vMerge w:val="continue"/>
            <w:tcBorders>
              <w:right w:val="single" w:color="auto" w:sz="4" w:space="0"/>
            </w:tcBorders>
            <w:vAlign w:val="center"/>
          </w:tcPr>
          <w:p w14:paraId="7BB8B364">
            <w:pPr>
              <w:pStyle w:val="9"/>
              <w:snapToGrid w:val="0"/>
              <w:jc w:val="center"/>
              <w:rPr>
                <w:rFonts w:ascii="Times New Roman" w:hAnsi="Times New Roman"/>
                <w:kern w:val="2"/>
                <w:sz w:val="21"/>
                <w:szCs w:val="21"/>
                <w:highlight w:val="none"/>
              </w:rPr>
            </w:pPr>
          </w:p>
        </w:tc>
        <w:tc>
          <w:tcPr>
            <w:tcW w:w="1204" w:type="dxa"/>
            <w:gridSpan w:val="2"/>
            <w:tcBorders>
              <w:right w:val="single" w:color="auto" w:sz="4" w:space="0"/>
            </w:tcBorders>
            <w:vAlign w:val="center"/>
          </w:tcPr>
          <w:p w14:paraId="0527DACC">
            <w:pPr>
              <w:pStyle w:val="9"/>
              <w:snapToGrid w:val="0"/>
              <w:jc w:val="center"/>
              <w:rPr>
                <w:rFonts w:ascii="Times New Roman" w:hAnsi="Times New Roman"/>
                <w:kern w:val="2"/>
                <w:sz w:val="21"/>
                <w:szCs w:val="21"/>
                <w:highlight w:val="none"/>
              </w:rPr>
            </w:pPr>
            <w:r>
              <w:rPr>
                <w:rFonts w:ascii="Times New Roman" w:hAnsi="Times New Roman"/>
                <w:kern w:val="2"/>
                <w:sz w:val="21"/>
                <w:szCs w:val="21"/>
                <w:highlight w:val="none"/>
              </w:rPr>
              <w:t>履职承诺</w:t>
            </w:r>
          </w:p>
        </w:tc>
        <w:tc>
          <w:tcPr>
            <w:tcW w:w="942" w:type="dxa"/>
            <w:tcBorders>
              <w:left w:val="single" w:color="auto" w:sz="4" w:space="0"/>
              <w:right w:val="single" w:color="auto" w:sz="4" w:space="0"/>
            </w:tcBorders>
            <w:vAlign w:val="center"/>
          </w:tcPr>
          <w:p w14:paraId="61C969B3">
            <w:pPr>
              <w:pStyle w:val="9"/>
              <w:snapToGrid w:val="0"/>
              <w:jc w:val="center"/>
              <w:rPr>
                <w:rFonts w:ascii="Times New Roman" w:hAnsi="Times New Roman"/>
                <w:kern w:val="2"/>
                <w:sz w:val="21"/>
                <w:szCs w:val="21"/>
                <w:highlight w:val="none"/>
              </w:rPr>
            </w:pPr>
            <w:r>
              <w:rPr>
                <w:rFonts w:ascii="Times New Roman" w:hAnsi="Times New Roman"/>
                <w:kern w:val="2"/>
                <w:sz w:val="21"/>
                <w:szCs w:val="21"/>
                <w:highlight w:val="none"/>
              </w:rPr>
              <w:t>5分</w:t>
            </w:r>
          </w:p>
        </w:tc>
        <w:tc>
          <w:tcPr>
            <w:tcW w:w="4494" w:type="dxa"/>
            <w:tcBorders>
              <w:left w:val="single" w:color="auto" w:sz="4" w:space="0"/>
            </w:tcBorders>
            <w:vAlign w:val="center"/>
          </w:tcPr>
          <w:p w14:paraId="56471AFE">
            <w:pPr>
              <w:pStyle w:val="9"/>
              <w:snapToGrid w:val="0"/>
              <w:spacing w:line="360" w:lineRule="exact"/>
              <w:rPr>
                <w:rFonts w:ascii="Times New Roman" w:hAnsi="Times New Roman"/>
                <w:kern w:val="2"/>
                <w:sz w:val="21"/>
                <w:szCs w:val="21"/>
                <w:highlight w:val="none"/>
              </w:rPr>
            </w:pPr>
            <w:r>
              <w:rPr>
                <w:rFonts w:ascii="Times New Roman" w:hAnsi="Times New Roman"/>
                <w:kern w:val="2"/>
                <w:sz w:val="21"/>
                <w:szCs w:val="21"/>
                <w:highlight w:val="none"/>
              </w:rPr>
              <w:t>承诺遵照国家有关的法律法规，认真履行工作职责，并对审计意见和咨询意见承担法律和经济责任；详细、全面、条理清晰，得</w:t>
            </w:r>
            <w:r>
              <w:rPr>
                <w:rFonts w:hint="eastAsia" w:ascii="Times New Roman" w:hAnsi="Times New Roman"/>
                <w:kern w:val="2"/>
                <w:sz w:val="21"/>
                <w:szCs w:val="21"/>
                <w:highlight w:val="none"/>
              </w:rPr>
              <w:t>4</w:t>
            </w:r>
            <w:r>
              <w:rPr>
                <w:rFonts w:ascii="Times New Roman" w:hAnsi="Times New Roman"/>
                <w:kern w:val="2"/>
                <w:sz w:val="21"/>
                <w:szCs w:val="21"/>
                <w:highlight w:val="none"/>
              </w:rPr>
              <w:t>.</w:t>
            </w:r>
            <w:r>
              <w:rPr>
                <w:rFonts w:hint="eastAsia" w:ascii="Times New Roman" w:hAnsi="Times New Roman"/>
                <w:kern w:val="2"/>
                <w:sz w:val="21"/>
                <w:szCs w:val="21"/>
                <w:highlight w:val="none"/>
              </w:rPr>
              <w:t>0</w:t>
            </w:r>
            <w:r>
              <w:rPr>
                <w:rFonts w:ascii="Times New Roman" w:hAnsi="Times New Roman"/>
                <w:kern w:val="2"/>
                <w:sz w:val="21"/>
                <w:szCs w:val="21"/>
                <w:highlight w:val="none"/>
              </w:rPr>
              <w:t>（不含）-5</w:t>
            </w:r>
            <w:r>
              <w:rPr>
                <w:rFonts w:hint="eastAsia" w:ascii="Times New Roman" w:hAnsi="Times New Roman"/>
                <w:kern w:val="2"/>
                <w:sz w:val="21"/>
                <w:szCs w:val="21"/>
                <w:highlight w:val="none"/>
              </w:rPr>
              <w:t>.0（含）</w:t>
            </w:r>
            <w:r>
              <w:rPr>
                <w:rFonts w:ascii="Times New Roman" w:hAnsi="Times New Roman"/>
                <w:kern w:val="2"/>
                <w:sz w:val="21"/>
                <w:szCs w:val="21"/>
                <w:highlight w:val="none"/>
              </w:rPr>
              <w:t>分；较详细、全面、条理较清晰，得3.0（不含）</w:t>
            </w:r>
            <w:r>
              <w:rPr>
                <w:rFonts w:hint="eastAsia" w:ascii="Times New Roman" w:hAnsi="Times New Roman"/>
                <w:kern w:val="2"/>
                <w:sz w:val="21"/>
                <w:szCs w:val="21"/>
                <w:highlight w:val="none"/>
              </w:rPr>
              <w:t>-4.0（含）</w:t>
            </w:r>
            <w:r>
              <w:rPr>
                <w:rFonts w:ascii="Times New Roman" w:hAnsi="Times New Roman"/>
                <w:kern w:val="2"/>
                <w:sz w:val="21"/>
                <w:szCs w:val="21"/>
                <w:highlight w:val="none"/>
              </w:rPr>
              <w:t>分</w:t>
            </w:r>
            <w:r>
              <w:rPr>
                <w:rFonts w:hint="eastAsia" w:ascii="Times New Roman" w:hAnsi="Times New Roman"/>
                <w:kern w:val="2"/>
                <w:sz w:val="21"/>
                <w:szCs w:val="21"/>
                <w:highlight w:val="none"/>
              </w:rPr>
              <w:t>，</w:t>
            </w:r>
            <w:r>
              <w:rPr>
                <w:rFonts w:ascii="Times New Roman" w:hAnsi="Times New Roman"/>
                <w:kern w:val="2"/>
                <w:sz w:val="21"/>
                <w:szCs w:val="21"/>
                <w:highlight w:val="none"/>
              </w:rPr>
              <w:t>一般</w:t>
            </w:r>
            <w:r>
              <w:rPr>
                <w:rFonts w:hint="eastAsia" w:ascii="Times New Roman" w:hAnsi="Times New Roman"/>
                <w:kern w:val="2"/>
                <w:sz w:val="21"/>
                <w:szCs w:val="21"/>
                <w:highlight w:val="none"/>
              </w:rPr>
              <w:t>，</w:t>
            </w:r>
            <w:r>
              <w:rPr>
                <w:rFonts w:ascii="Times New Roman" w:hAnsi="Times New Roman"/>
                <w:kern w:val="2"/>
                <w:sz w:val="21"/>
                <w:szCs w:val="21"/>
                <w:highlight w:val="none"/>
              </w:rPr>
              <w:t>得</w:t>
            </w:r>
            <w:r>
              <w:rPr>
                <w:rFonts w:hint="eastAsia" w:ascii="Times New Roman" w:hAnsi="Times New Roman"/>
                <w:kern w:val="2"/>
                <w:sz w:val="21"/>
                <w:szCs w:val="21"/>
                <w:highlight w:val="none"/>
              </w:rPr>
              <w:t>3.0分。</w:t>
            </w:r>
          </w:p>
        </w:tc>
      </w:tr>
      <w:tr w14:paraId="0CD86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00" w:hRule="exact"/>
          <w:jc w:val="center"/>
        </w:trPr>
        <w:tc>
          <w:tcPr>
            <w:tcW w:w="817" w:type="dxa"/>
            <w:vAlign w:val="center"/>
          </w:tcPr>
          <w:p w14:paraId="700DC7CA">
            <w:pPr>
              <w:autoSpaceDE w:val="0"/>
              <w:autoSpaceDN w:val="0"/>
              <w:snapToGrid w:val="0"/>
              <w:ind w:right="11"/>
              <w:jc w:val="center"/>
              <w:rPr>
                <w:rFonts w:ascii="Times New Roman" w:hAnsi="Times New Roman"/>
                <w:highlight w:val="none"/>
              </w:rPr>
            </w:pPr>
            <w:r>
              <w:rPr>
                <w:rFonts w:ascii="Times New Roman" w:hAnsi="Times New Roman"/>
                <w:highlight w:val="none"/>
              </w:rPr>
              <w:t>2.2.4(</w:t>
            </w:r>
            <w:r>
              <w:rPr>
                <w:rFonts w:hint="eastAsia" w:ascii="Times New Roman" w:hAnsi="Times New Roman"/>
                <w:highlight w:val="none"/>
              </w:rPr>
              <w:t>2</w:t>
            </w:r>
            <w:r>
              <w:rPr>
                <w:rFonts w:ascii="Times New Roman" w:hAnsi="Times New Roman"/>
                <w:highlight w:val="none"/>
              </w:rPr>
              <w:t>)</w:t>
            </w:r>
          </w:p>
        </w:tc>
        <w:tc>
          <w:tcPr>
            <w:tcW w:w="928" w:type="dxa"/>
            <w:vAlign w:val="center"/>
          </w:tcPr>
          <w:p w14:paraId="19858CDE">
            <w:pPr>
              <w:autoSpaceDE w:val="0"/>
              <w:autoSpaceDN w:val="0"/>
              <w:spacing w:line="360" w:lineRule="exact"/>
              <w:jc w:val="center"/>
              <w:rPr>
                <w:rFonts w:ascii="Times New Roman" w:hAnsi="Times New Roman"/>
                <w:kern w:val="0"/>
                <w:szCs w:val="21"/>
                <w:highlight w:val="none"/>
              </w:rPr>
            </w:pPr>
            <w:r>
              <w:rPr>
                <w:rFonts w:ascii="Times New Roman" w:hAnsi="Times New Roman"/>
                <w:kern w:val="0"/>
                <w:szCs w:val="21"/>
                <w:highlight w:val="none"/>
              </w:rPr>
              <w:t>评标价</w:t>
            </w:r>
          </w:p>
        </w:tc>
        <w:tc>
          <w:tcPr>
            <w:tcW w:w="690" w:type="dxa"/>
            <w:vAlign w:val="center"/>
          </w:tcPr>
          <w:p w14:paraId="56A48194">
            <w:pPr>
              <w:autoSpaceDE w:val="0"/>
              <w:autoSpaceDN w:val="0"/>
              <w:spacing w:line="192" w:lineRule="exact"/>
              <w:ind w:left="2" w:right="2"/>
              <w:jc w:val="center"/>
              <w:rPr>
                <w:rFonts w:ascii="Times New Roman" w:hAnsi="Times New Roman"/>
                <w:kern w:val="0"/>
                <w:szCs w:val="21"/>
                <w:highlight w:val="none"/>
              </w:rPr>
            </w:pPr>
            <w:r>
              <w:rPr>
                <w:rFonts w:hint="eastAsia" w:ascii="Times New Roman" w:hAnsi="Times New Roman"/>
                <w:kern w:val="0"/>
                <w:szCs w:val="21"/>
                <w:highlight w:val="none"/>
                <w:lang w:val="en-US" w:eastAsia="zh-CN"/>
              </w:rPr>
              <w:t>3</w:t>
            </w:r>
            <w:r>
              <w:rPr>
                <w:rFonts w:hint="eastAsia" w:ascii="Times New Roman" w:hAnsi="Times New Roman"/>
                <w:kern w:val="0"/>
                <w:szCs w:val="21"/>
                <w:highlight w:val="none"/>
              </w:rPr>
              <w:t>0</w:t>
            </w:r>
            <w:r>
              <w:rPr>
                <w:rFonts w:ascii="Times New Roman" w:hAnsi="Times New Roman"/>
                <w:kern w:val="0"/>
                <w:szCs w:val="21"/>
                <w:highlight w:val="none"/>
              </w:rPr>
              <w:t>分</w:t>
            </w:r>
          </w:p>
        </w:tc>
        <w:tc>
          <w:tcPr>
            <w:tcW w:w="561" w:type="dxa"/>
            <w:vAlign w:val="center"/>
          </w:tcPr>
          <w:p w14:paraId="59F556B2">
            <w:pPr>
              <w:pStyle w:val="9"/>
              <w:spacing w:line="360" w:lineRule="exact"/>
              <w:rPr>
                <w:rFonts w:ascii="Times New Roman" w:hAnsi="Times New Roman"/>
                <w:kern w:val="2"/>
                <w:sz w:val="21"/>
                <w:szCs w:val="21"/>
                <w:highlight w:val="none"/>
              </w:rPr>
            </w:pPr>
          </w:p>
        </w:tc>
        <w:tc>
          <w:tcPr>
            <w:tcW w:w="6640" w:type="dxa"/>
            <w:gridSpan w:val="4"/>
            <w:vAlign w:val="center"/>
          </w:tcPr>
          <w:p w14:paraId="4C6AD847">
            <w:pPr>
              <w:pStyle w:val="9"/>
              <w:spacing w:line="360" w:lineRule="exact"/>
              <w:rPr>
                <w:rFonts w:ascii="Times New Roman" w:hAnsi="Times New Roman"/>
                <w:kern w:val="2"/>
                <w:sz w:val="21"/>
                <w:szCs w:val="21"/>
                <w:highlight w:val="none"/>
              </w:rPr>
            </w:pPr>
            <w:r>
              <w:rPr>
                <w:rFonts w:ascii="Times New Roman" w:hAnsi="Times New Roman"/>
                <w:kern w:val="2"/>
                <w:sz w:val="21"/>
                <w:szCs w:val="21"/>
                <w:highlight w:val="none"/>
              </w:rPr>
              <w:t>评标价得分计算公式：</w:t>
            </w:r>
          </w:p>
          <w:p w14:paraId="147F9547">
            <w:pPr>
              <w:pStyle w:val="9"/>
              <w:spacing w:line="360" w:lineRule="exact"/>
              <w:rPr>
                <w:rFonts w:ascii="Times New Roman" w:hAnsi="Times New Roman"/>
                <w:kern w:val="2"/>
                <w:sz w:val="21"/>
                <w:szCs w:val="21"/>
                <w:highlight w:val="none"/>
              </w:rPr>
            </w:pPr>
            <w:r>
              <w:rPr>
                <w:rFonts w:ascii="Times New Roman" w:hAnsi="Times New Roman"/>
                <w:kern w:val="2"/>
                <w:sz w:val="21"/>
                <w:szCs w:val="21"/>
                <w:highlight w:val="none"/>
              </w:rPr>
              <w:t>（1）如果投标人的评标价＞评标基准价，则评标价得分=F-</w:t>
            </w:r>
            <w:r>
              <w:rPr>
                <w:rFonts w:hint="default"/>
                <w:color w:val="auto"/>
                <w:kern w:val="2"/>
                <w:sz w:val="21"/>
                <w:szCs w:val="21"/>
                <w:highlight w:val="none"/>
              </w:rPr>
              <w:t>（投标人评标价-评标基准价）/评标基准价</w:t>
            </w:r>
            <w:r>
              <w:rPr>
                <w:rFonts w:hint="eastAsia" w:ascii="宋体" w:hAnsi="宋体" w:eastAsia="宋体" w:cs="宋体"/>
                <w:bCs/>
                <w:snapToGrid/>
                <w:color w:val="auto"/>
                <w:spacing w:val="0"/>
                <w:kern w:val="21"/>
                <w:sz w:val="21"/>
                <w:szCs w:val="21"/>
                <w:highlight w:val="none"/>
              </w:rPr>
              <w:t>×100×E1</w:t>
            </w:r>
            <w:r>
              <w:rPr>
                <w:rFonts w:ascii="Times New Roman" w:hAnsi="Times New Roman"/>
                <w:kern w:val="2"/>
                <w:sz w:val="21"/>
                <w:szCs w:val="21"/>
                <w:highlight w:val="none"/>
              </w:rPr>
              <w:t>；</w:t>
            </w:r>
          </w:p>
          <w:p w14:paraId="533DC38A">
            <w:pPr>
              <w:pStyle w:val="9"/>
              <w:spacing w:line="360" w:lineRule="exact"/>
              <w:rPr>
                <w:rFonts w:ascii="Times New Roman" w:hAnsi="Times New Roman"/>
                <w:kern w:val="2"/>
                <w:sz w:val="21"/>
                <w:szCs w:val="21"/>
                <w:highlight w:val="none"/>
              </w:rPr>
            </w:pPr>
            <w:r>
              <w:rPr>
                <w:rFonts w:ascii="Times New Roman" w:hAnsi="Times New Roman"/>
                <w:kern w:val="2"/>
                <w:sz w:val="21"/>
                <w:szCs w:val="21"/>
                <w:highlight w:val="none"/>
              </w:rPr>
              <w:t>（2）如果投标人的评标价≤评标基准价，则评标价得分=F+</w:t>
            </w:r>
            <w:r>
              <w:rPr>
                <w:rFonts w:hint="default"/>
                <w:color w:val="auto"/>
                <w:kern w:val="2"/>
                <w:sz w:val="21"/>
                <w:szCs w:val="21"/>
                <w:highlight w:val="none"/>
              </w:rPr>
              <w:t>（投标人评标价-评标基准价）/评标基准价</w:t>
            </w:r>
            <w:r>
              <w:rPr>
                <w:rFonts w:hint="eastAsia" w:ascii="宋体" w:hAnsi="宋体" w:eastAsia="宋体" w:cs="宋体"/>
                <w:bCs/>
                <w:snapToGrid/>
                <w:color w:val="auto"/>
                <w:spacing w:val="0"/>
                <w:kern w:val="21"/>
                <w:sz w:val="21"/>
                <w:szCs w:val="21"/>
                <w:highlight w:val="none"/>
              </w:rPr>
              <w:t>×100×E</w:t>
            </w:r>
            <w:r>
              <w:rPr>
                <w:rFonts w:hint="eastAsia" w:hAnsi="宋体" w:cs="宋体"/>
                <w:bCs/>
                <w:snapToGrid/>
                <w:color w:val="auto"/>
                <w:spacing w:val="0"/>
                <w:kern w:val="21"/>
                <w:sz w:val="21"/>
                <w:szCs w:val="21"/>
                <w:highlight w:val="none"/>
                <w:lang w:val="en-US" w:eastAsia="zh-CN"/>
              </w:rPr>
              <w:t>2</w:t>
            </w:r>
            <w:r>
              <w:rPr>
                <w:rFonts w:ascii="Times New Roman" w:hAnsi="Times New Roman"/>
                <w:kern w:val="2"/>
                <w:sz w:val="21"/>
                <w:szCs w:val="21"/>
                <w:highlight w:val="none"/>
              </w:rPr>
              <w:t>。</w:t>
            </w:r>
          </w:p>
          <w:p w14:paraId="3BCC059F">
            <w:pPr>
              <w:pStyle w:val="9"/>
              <w:spacing w:line="360" w:lineRule="exact"/>
              <w:rPr>
                <w:rFonts w:ascii="Times New Roman" w:hAnsi="Times New Roman"/>
                <w:kern w:val="2"/>
                <w:sz w:val="21"/>
                <w:szCs w:val="21"/>
                <w:highlight w:val="none"/>
              </w:rPr>
            </w:pPr>
            <w:r>
              <w:rPr>
                <w:rFonts w:ascii="Times New Roman" w:hAnsi="Times New Roman"/>
                <w:kern w:val="2"/>
                <w:sz w:val="21"/>
                <w:szCs w:val="21"/>
                <w:highlight w:val="none"/>
              </w:rPr>
              <w:t>其中，F=</w:t>
            </w:r>
            <w:r>
              <w:rPr>
                <w:rFonts w:hint="eastAsia" w:ascii="Times New Roman" w:hAnsi="Times New Roman"/>
                <w:kern w:val="2"/>
                <w:sz w:val="21"/>
                <w:szCs w:val="21"/>
                <w:highlight w:val="none"/>
                <w:lang w:val="en-US" w:eastAsia="zh-CN"/>
              </w:rPr>
              <w:t>3</w:t>
            </w:r>
            <w:r>
              <w:rPr>
                <w:rFonts w:ascii="Times New Roman" w:hAnsi="Times New Roman"/>
                <w:kern w:val="2"/>
                <w:sz w:val="21"/>
                <w:szCs w:val="21"/>
                <w:highlight w:val="none"/>
              </w:rPr>
              <w:t>0；E1=0.</w:t>
            </w:r>
            <w:r>
              <w:rPr>
                <w:rFonts w:hint="eastAsia" w:ascii="Times New Roman" w:hAnsi="Times New Roman"/>
                <w:kern w:val="2"/>
                <w:sz w:val="21"/>
                <w:szCs w:val="21"/>
                <w:highlight w:val="none"/>
                <w:lang w:val="en-US" w:eastAsia="zh-CN"/>
              </w:rPr>
              <w:t>4</w:t>
            </w:r>
            <w:r>
              <w:rPr>
                <w:rFonts w:ascii="Times New Roman" w:hAnsi="Times New Roman"/>
                <w:kern w:val="2"/>
                <w:sz w:val="21"/>
                <w:szCs w:val="21"/>
                <w:highlight w:val="none"/>
              </w:rPr>
              <w:t>；E2=0.</w:t>
            </w:r>
            <w:r>
              <w:rPr>
                <w:rFonts w:hint="eastAsia" w:ascii="Times New Roman" w:hAnsi="Times New Roman"/>
                <w:kern w:val="2"/>
                <w:sz w:val="21"/>
                <w:szCs w:val="21"/>
                <w:highlight w:val="none"/>
                <w:lang w:val="en-US" w:eastAsia="zh-CN"/>
              </w:rPr>
              <w:t>2</w:t>
            </w:r>
            <w:r>
              <w:rPr>
                <w:rFonts w:ascii="Times New Roman" w:hAnsi="Times New Roman"/>
                <w:kern w:val="2"/>
                <w:sz w:val="21"/>
                <w:szCs w:val="21"/>
                <w:highlight w:val="none"/>
              </w:rPr>
              <w:t>；评标价最低得分为0分。</w:t>
            </w:r>
          </w:p>
          <w:p w14:paraId="5AB9D672">
            <w:pPr>
              <w:pStyle w:val="9"/>
              <w:spacing w:line="360" w:lineRule="exact"/>
              <w:rPr>
                <w:rFonts w:ascii="Times New Roman" w:hAnsi="Times New Roman"/>
                <w:kern w:val="2"/>
                <w:sz w:val="21"/>
                <w:szCs w:val="21"/>
                <w:highlight w:val="none"/>
              </w:rPr>
            </w:pPr>
            <w:r>
              <w:rPr>
                <w:color w:val="auto"/>
                <w:kern w:val="2"/>
                <w:sz w:val="21"/>
                <w:szCs w:val="21"/>
                <w:highlight w:val="none"/>
              </w:rPr>
              <w:t>评标价得分保留两位小数，第三位四舍五入。</w:t>
            </w:r>
          </w:p>
        </w:tc>
      </w:tr>
    </w:tbl>
    <w:p w14:paraId="43D09EBD">
      <w:pPr>
        <w:spacing w:line="360" w:lineRule="exact"/>
        <w:rPr>
          <w:rFonts w:ascii="宋体" w:hAnsi="宋体"/>
          <w:kern w:val="0"/>
          <w:sz w:val="24"/>
          <w:szCs w:val="24"/>
          <w:highlight w:val="none"/>
        </w:rPr>
      </w:pPr>
      <w:r>
        <w:rPr>
          <w:rFonts w:hint="eastAsia" w:ascii="宋体" w:hAnsi="宋体"/>
          <w:kern w:val="0"/>
          <w:sz w:val="24"/>
          <w:szCs w:val="24"/>
          <w:highlight w:val="none"/>
        </w:rPr>
        <w:t>注：1、评审因素得分应以评标委员会各成员的打分平均值确定。</w:t>
      </w:r>
    </w:p>
    <w:p w14:paraId="0FBA011A">
      <w:pPr>
        <w:spacing w:line="360" w:lineRule="exact"/>
        <w:ind w:firstLine="480" w:firstLineChars="200"/>
        <w:rPr>
          <w:rFonts w:hint="eastAsia" w:ascii="宋体" w:hAnsi="宋体"/>
          <w:kern w:val="0"/>
          <w:sz w:val="24"/>
          <w:szCs w:val="24"/>
          <w:highlight w:val="none"/>
        </w:rPr>
      </w:pPr>
      <w:r>
        <w:rPr>
          <w:rFonts w:hint="eastAsia" w:ascii="宋体" w:hAnsi="宋体"/>
          <w:kern w:val="0"/>
          <w:sz w:val="24"/>
          <w:szCs w:val="24"/>
          <w:highlight w:val="none"/>
        </w:rPr>
        <w:t>2、以上各</w:t>
      </w:r>
      <w:r>
        <w:rPr>
          <w:rFonts w:hint="eastAsia" w:ascii="宋体" w:hAnsi="宋体"/>
          <w:kern w:val="0"/>
          <w:sz w:val="24"/>
          <w:szCs w:val="24"/>
          <w:highlight w:val="none"/>
          <w:lang w:val="en-US" w:eastAsia="zh-CN"/>
        </w:rPr>
        <w:t>评分因素细分项</w:t>
      </w:r>
      <w:r>
        <w:rPr>
          <w:rFonts w:hint="eastAsia" w:ascii="宋体" w:hAnsi="宋体"/>
          <w:kern w:val="0"/>
          <w:sz w:val="24"/>
          <w:szCs w:val="24"/>
          <w:highlight w:val="none"/>
        </w:rPr>
        <w:t>如出现缺项时，该项按“0”分计。</w:t>
      </w:r>
    </w:p>
    <w:p w14:paraId="14BC9A2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kern w:val="0"/>
          <w:sz w:val="24"/>
          <w:szCs w:val="24"/>
          <w:highlight w:val="none"/>
        </w:rPr>
      </w:pPr>
      <w:r>
        <w:rPr>
          <w:rFonts w:hint="eastAsia" w:ascii="宋体" w:hAnsi="宋体"/>
          <w:kern w:val="0"/>
          <w:sz w:val="24"/>
          <w:szCs w:val="24"/>
          <w:highlight w:val="none"/>
        </w:rPr>
        <w:t>3、打分时保留1位小数，计算得分时保留两位小数。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53019B"/>
    <w:rsid w:val="0ECD0571"/>
    <w:rsid w:val="11396325"/>
    <w:rsid w:val="14E0681B"/>
    <w:rsid w:val="1760460B"/>
    <w:rsid w:val="1E4F62D6"/>
    <w:rsid w:val="1F40383D"/>
    <w:rsid w:val="279B48E7"/>
    <w:rsid w:val="2896660E"/>
    <w:rsid w:val="2AE8488E"/>
    <w:rsid w:val="2EDF2AFC"/>
    <w:rsid w:val="33664DBE"/>
    <w:rsid w:val="35A574B6"/>
    <w:rsid w:val="395E67BE"/>
    <w:rsid w:val="39F049E4"/>
    <w:rsid w:val="3A53019B"/>
    <w:rsid w:val="3ABF5F61"/>
    <w:rsid w:val="42286BD6"/>
    <w:rsid w:val="444E2F6B"/>
    <w:rsid w:val="4A1273D5"/>
    <w:rsid w:val="4A9A4748"/>
    <w:rsid w:val="4B080D08"/>
    <w:rsid w:val="4C01529A"/>
    <w:rsid w:val="4ECD1ABD"/>
    <w:rsid w:val="528205B6"/>
    <w:rsid w:val="54904D90"/>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4"/>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5">
    <w:name w:val="heading 2"/>
    <w:basedOn w:val="1"/>
    <w:next w:val="1"/>
    <w:link w:val="13"/>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6">
    <w:name w:val="heading 3"/>
    <w:basedOn w:val="1"/>
    <w:next w:val="1"/>
    <w:link w:val="15"/>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7">
    <w:name w:val="heading 4"/>
    <w:basedOn w:val="1"/>
    <w:next w:val="1"/>
    <w:link w:val="16"/>
    <w:semiHidden/>
    <w:unhideWhenUsed/>
    <w:qFormat/>
    <w:uiPriority w:val="0"/>
    <w:pPr>
      <w:ind w:left="237"/>
      <w:outlineLvl w:val="3"/>
    </w:pPr>
    <w:rPr>
      <w:rFonts w:ascii="宋体" w:hAnsi="宋体" w:eastAsia="宋体" w:cs="Times New Roman"/>
      <w:b/>
      <w:sz w:val="28"/>
      <w:szCs w:val="28"/>
      <w:lang w:eastAsia="en-US"/>
    </w:rPr>
  </w:style>
  <w:style w:type="paragraph" w:styleId="8">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2">
    <w:name w:val="Default Paragraph Font"/>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Body Text 2"/>
    <w:basedOn w:val="1"/>
    <w:qFormat/>
    <w:uiPriority w:val="0"/>
    <w:rPr>
      <w:sz w:val="28"/>
      <w:szCs w:val="20"/>
    </w:rPr>
  </w:style>
  <w:style w:type="paragraph" w:styleId="9">
    <w:name w:val="Plain Text"/>
    <w:basedOn w:val="1"/>
    <w:qFormat/>
    <w:uiPriority w:val="0"/>
    <w:rPr>
      <w:rFonts w:ascii="宋体" w:hAnsi="Courier New"/>
      <w:kern w:val="0"/>
      <w:sz w:val="20"/>
      <w:szCs w:val="20"/>
    </w:rPr>
  </w:style>
  <w:style w:type="paragraph" w:styleId="10">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customStyle="1" w:styleId="13">
    <w:name w:val="标题 2 Char"/>
    <w:basedOn w:val="12"/>
    <w:link w:val="5"/>
    <w:qFormat/>
    <w:uiPriority w:val="9"/>
    <w:rPr>
      <w:rFonts w:ascii="宋体" w:hAnsi="宋体" w:eastAsia="宋体" w:cs="宋体"/>
      <w:b/>
      <w:bCs/>
      <w:sz w:val="24"/>
      <w:szCs w:val="24"/>
      <w:lang w:eastAsia="en-US"/>
    </w:rPr>
  </w:style>
  <w:style w:type="character" w:customStyle="1" w:styleId="14">
    <w:name w:val="标题 1 Char"/>
    <w:basedOn w:val="12"/>
    <w:link w:val="4"/>
    <w:qFormat/>
    <w:uiPriority w:val="9"/>
    <w:rPr>
      <w:rFonts w:ascii="宋体" w:hAnsi="宋体" w:eastAsia="宋体" w:cs="宋体"/>
      <w:b/>
      <w:bCs/>
      <w:kern w:val="36"/>
      <w:sz w:val="40"/>
      <w:szCs w:val="32"/>
      <w:lang w:eastAsia="en-US"/>
    </w:rPr>
  </w:style>
  <w:style w:type="character" w:customStyle="1" w:styleId="15">
    <w:name w:val="标题 3 Char"/>
    <w:basedOn w:val="12"/>
    <w:link w:val="6"/>
    <w:qFormat/>
    <w:uiPriority w:val="9"/>
    <w:rPr>
      <w:rFonts w:ascii="宋体" w:hAnsi="宋体" w:eastAsia="宋体" w:cs="宋体"/>
      <w:b/>
      <w:bCs/>
      <w:kern w:val="0"/>
      <w:sz w:val="24"/>
      <w:szCs w:val="24"/>
      <w:lang w:eastAsia="en-US"/>
    </w:rPr>
  </w:style>
  <w:style w:type="character" w:customStyle="1" w:styleId="16">
    <w:name w:val="标题 4 字符"/>
    <w:link w:val="7"/>
    <w:qFormat/>
    <w:uiPriority w:val="0"/>
    <w:rPr>
      <w:rFonts w:ascii="宋体" w:hAnsi="宋体" w:eastAsia="宋体" w:cs="Times New Roman"/>
      <w:b/>
      <w:sz w:val="28"/>
      <w:szCs w:val="2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885</Words>
  <Characters>909</Characters>
  <Lines>0</Lines>
  <Paragraphs>0</Paragraphs>
  <TotalTime>0</TotalTime>
  <ScaleCrop>false</ScaleCrop>
  <LinksUpToDate>false</LinksUpToDate>
  <CharactersWithSpaces>922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2025-12-23T02:23:00Z</dcterms:created>
  <dc:creator>张宁</dc:creator>
  <cp:lastModifiedBy>李娜</cp:lastModifiedBy>
  <dcterms:modified xsi:type="dcterms:W3CDTF">2025-12-23T02:39:54Z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0BE32BF65EA84F2A885AC36A6E1E3D6D_11</vt:lpwstr>
  </property>
  <property fmtid="{D5CDD505-2E9C-101B-9397-08002B2CF9AE}" pid="4" name="KSOTemplateDocerSaveRecord">
    <vt:lpwstr>eyJoZGlkIjoiOWYyZDYxNTJjZmI2NmVkYTMyOWVjMGFiZjEzZGM5NjgiLCJ1c2VySWQiOiIxNTI1NDExOTAzIn0=</vt:lpwstr>
  </property>
</Properties>
</file>