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BFF09">
      <w:pPr>
        <w:rPr>
          <w:rFonts w:hint="eastAsia" w:ascii="宋体" w:hAnsi="宋体" w:cs="宋体"/>
          <w:b/>
          <w:color w:val="auto"/>
          <w:sz w:val="28"/>
          <w:szCs w:val="28"/>
          <w:highlight w:val="none"/>
        </w:rPr>
      </w:pPr>
      <w:bookmarkStart w:id="20" w:name="_GoBack"/>
      <w:bookmarkEnd w:id="20"/>
      <w:r>
        <w:rPr>
          <w:rFonts w:hint="eastAsia" w:ascii="宋体" w:hAnsi="宋体" w:cs="宋体"/>
          <w:b/>
          <w:color w:val="auto"/>
          <w:sz w:val="28"/>
          <w:szCs w:val="28"/>
          <w:highlight w:val="none"/>
        </w:rPr>
        <w:t>附件1：资格审查条件</w:t>
      </w:r>
    </w:p>
    <w:p w14:paraId="3138A44D">
      <w:pPr>
        <w:jc w:val="center"/>
        <w:rPr>
          <w:rFonts w:hint="eastAsia" w:ascii="宋体" w:hAnsi="宋体"/>
          <w:color w:val="auto"/>
          <w:highlight w:val="none"/>
        </w:rPr>
      </w:pPr>
    </w:p>
    <w:p w14:paraId="40CD7805">
      <w:pPr>
        <w:pStyle w:val="16"/>
        <w:rPr>
          <w:rFonts w:hint="eastAsia"/>
          <w:color w:val="auto"/>
          <w:highlight w:val="none"/>
        </w:rPr>
      </w:pPr>
    </w:p>
    <w:p w14:paraId="44326B52">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05728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025" w:type="dxa"/>
            <w:tcBorders>
              <w:top w:val="single" w:color="000000" w:sz="2" w:space="0"/>
              <w:left w:val="single" w:color="auto" w:sz="4" w:space="0"/>
              <w:bottom w:val="single" w:color="000000" w:sz="4" w:space="0"/>
              <w:right w:val="single" w:color="000000" w:sz="2" w:space="0"/>
            </w:tcBorders>
            <w:noWrap w:val="0"/>
            <w:vAlign w:val="center"/>
          </w:tcPr>
          <w:p w14:paraId="7B588C71">
            <w:pPr>
              <w:adjustRightInd w:val="0"/>
              <w:snapToGrid w:val="0"/>
              <w:spacing w:line="240" w:lineRule="auto"/>
              <w:jc w:val="center"/>
              <w:textAlignment w:val="baseline"/>
              <w:rPr>
                <w:rStyle w:val="17"/>
                <w:rFonts w:ascii="宋体" w:hAnsi="宋体"/>
                <w:b w:val="0"/>
                <w:bCs w:val="0"/>
                <w:snapToGrid w:val="0"/>
                <w:color w:val="auto"/>
                <w:kern w:val="0"/>
                <w:sz w:val="24"/>
                <w:szCs w:val="24"/>
                <w:highlight w:val="none"/>
              </w:rPr>
            </w:pPr>
            <w:r>
              <w:rPr>
                <w:rStyle w:val="17"/>
                <w:rFonts w:ascii="宋体" w:hAnsi="宋体"/>
                <w:b w:val="0"/>
                <w:bCs w:val="0"/>
                <w:snapToGrid w:val="0"/>
                <w:color w:val="auto"/>
                <w:kern w:val="0"/>
                <w:sz w:val="24"/>
                <w:szCs w:val="24"/>
                <w:highlight w:val="none"/>
              </w:rPr>
              <w:t>资质要求</w:t>
            </w:r>
          </w:p>
        </w:tc>
      </w:tr>
      <w:tr w14:paraId="5E748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025" w:type="dxa"/>
            <w:tcBorders>
              <w:top w:val="single" w:color="000000" w:sz="2" w:space="0"/>
              <w:left w:val="single" w:color="auto" w:sz="4" w:space="0"/>
              <w:bottom w:val="single" w:color="000000" w:sz="2" w:space="0"/>
              <w:right w:val="single" w:color="000000" w:sz="2" w:space="0"/>
            </w:tcBorders>
            <w:noWrap w:val="0"/>
            <w:vAlign w:val="center"/>
          </w:tcPr>
          <w:p w14:paraId="7D60E917">
            <w:pPr>
              <w:spacing w:line="240" w:lineRule="auto"/>
              <w:jc w:val="both"/>
              <w:rPr>
                <w:rStyle w:val="17"/>
                <w:rFonts w:hint="eastAsia" w:hAnsi="宋体" w:eastAsia="宋体"/>
                <w:bCs w:val="0"/>
                <w:snapToGrid w:val="0"/>
                <w:color w:val="auto"/>
                <w:sz w:val="24"/>
                <w:szCs w:val="24"/>
                <w:highlight w:val="none"/>
                <w:lang w:eastAsia="zh-CN"/>
              </w:rPr>
            </w:pPr>
            <w:r>
              <w:rPr>
                <w:rStyle w:val="17"/>
                <w:rFonts w:hint="eastAsia" w:hAnsi="宋体"/>
                <w:bCs w:val="0"/>
                <w:snapToGrid w:val="0"/>
                <w:color w:val="auto"/>
                <w:sz w:val="24"/>
                <w:szCs w:val="24"/>
                <w:highlight w:val="none"/>
              </w:rPr>
              <w:t>投标人应为在中华人民共和国境内合法注册、具有独立法人资格的制造商</w:t>
            </w:r>
            <w:r>
              <w:rPr>
                <w:rStyle w:val="17"/>
                <w:rFonts w:hint="eastAsia" w:hAnsi="宋体"/>
                <w:bCs w:val="0"/>
                <w:snapToGrid w:val="0"/>
                <w:color w:val="auto"/>
                <w:sz w:val="24"/>
                <w:szCs w:val="24"/>
                <w:highlight w:val="none"/>
                <w:lang w:eastAsia="zh-CN"/>
              </w:rPr>
              <w:t>。</w:t>
            </w:r>
          </w:p>
        </w:tc>
      </w:tr>
    </w:tbl>
    <w:p w14:paraId="47F1BB2F">
      <w:pPr>
        <w:pStyle w:val="8"/>
        <w:spacing w:line="240" w:lineRule="auto"/>
        <w:ind w:left="0" w:leftChars="0" w:firstLine="0" w:firstLineChars="0"/>
        <w:jc w:val="center"/>
        <w:rPr>
          <w:rFonts w:hint="eastAsia"/>
          <w:color w:val="auto"/>
          <w:sz w:val="24"/>
          <w:szCs w:val="24"/>
          <w:highlight w:val="none"/>
        </w:rPr>
      </w:pPr>
    </w:p>
    <w:p w14:paraId="7189B268">
      <w:pPr>
        <w:spacing w:line="240" w:lineRule="auto"/>
        <w:jc w:val="center"/>
        <w:rPr>
          <w:rFonts w:hint="eastAsia" w:ascii="宋体" w:hAnsi="宋体"/>
          <w:color w:val="auto"/>
          <w:sz w:val="24"/>
          <w:szCs w:val="24"/>
          <w:highlight w:val="none"/>
        </w:rPr>
      </w:pPr>
    </w:p>
    <w:p w14:paraId="0860551C">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76209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667" w:type="dxa"/>
            <w:tcBorders>
              <w:top w:val="single" w:color="000000" w:sz="2" w:space="0"/>
              <w:left w:val="single" w:color="auto" w:sz="4" w:space="0"/>
              <w:bottom w:val="single" w:color="000000" w:sz="4" w:space="0"/>
              <w:right w:val="single" w:color="000000" w:sz="2" w:space="0"/>
            </w:tcBorders>
            <w:noWrap w:val="0"/>
            <w:vAlign w:val="center"/>
          </w:tcPr>
          <w:p w14:paraId="50398D62">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业绩要求</w:t>
            </w:r>
          </w:p>
        </w:tc>
      </w:tr>
      <w:tr w14:paraId="48E60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667" w:type="dxa"/>
            <w:tcBorders>
              <w:top w:val="single" w:color="000000" w:sz="2" w:space="0"/>
              <w:left w:val="single" w:color="auto" w:sz="4" w:space="0"/>
              <w:bottom w:val="single" w:color="000000" w:sz="2" w:space="0"/>
              <w:right w:val="single" w:color="000000" w:sz="2" w:space="0"/>
            </w:tcBorders>
            <w:noWrap w:val="0"/>
            <w:vAlign w:val="center"/>
          </w:tcPr>
          <w:p w14:paraId="60E1E698">
            <w:pPr>
              <w:spacing w:line="240" w:lineRule="auto"/>
              <w:jc w:val="both"/>
              <w:rPr>
                <w:rFonts w:hint="eastAsia"/>
                <w:color w:val="auto"/>
                <w:highlight w:val="none"/>
                <w:lang w:val="en-US" w:eastAsia="zh-CN"/>
              </w:rPr>
            </w:pPr>
            <w:r>
              <w:rPr>
                <w:rFonts w:hint="eastAsia" w:ascii="Times New Roman" w:hAnsi="宋体" w:eastAsia="宋体" w:cs="Times New Roman"/>
                <w:color w:val="auto"/>
                <w:sz w:val="24"/>
                <w:szCs w:val="24"/>
                <w:highlight w:val="none"/>
                <w:lang w:val="en-US" w:eastAsia="zh-CN"/>
              </w:rPr>
              <w:t>近3年内（2022年</w:t>
            </w:r>
            <w:r>
              <w:rPr>
                <w:rFonts w:hint="eastAsia" w:hAnsi="宋体" w:cs="Times New Roman"/>
                <w:color w:val="auto"/>
                <w:sz w:val="24"/>
                <w:szCs w:val="24"/>
                <w:highlight w:val="none"/>
                <w:lang w:val="en-US" w:eastAsia="zh-CN"/>
              </w:rPr>
              <w:t>11月</w:t>
            </w:r>
            <w:r>
              <w:rPr>
                <w:rFonts w:hint="eastAsia" w:ascii="Times New Roman" w:hAnsi="宋体" w:eastAsia="宋体" w:cs="Times New Roman"/>
                <w:color w:val="auto"/>
                <w:sz w:val="24"/>
                <w:szCs w:val="24"/>
                <w:highlight w:val="none"/>
                <w:lang w:val="en-US" w:eastAsia="zh-CN"/>
              </w:rPr>
              <w:t>1日至投标截止时间，以合同签订时间为准）须具有至少</w:t>
            </w:r>
            <w:r>
              <w:rPr>
                <w:rFonts w:hint="eastAsia" w:hAnsi="宋体" w:cs="Times New Roman"/>
                <w:color w:val="auto"/>
                <w:sz w:val="24"/>
                <w:szCs w:val="24"/>
                <w:highlight w:val="none"/>
                <w:lang w:val="en-US" w:eastAsia="zh-CN"/>
              </w:rPr>
              <w:t>1套新泽西</w:t>
            </w:r>
            <w:r>
              <w:rPr>
                <w:rFonts w:hint="eastAsia" w:ascii="Times New Roman" w:hAnsi="宋体" w:eastAsia="宋体" w:cs="Times New Roman"/>
                <w:color w:val="auto"/>
                <w:sz w:val="24"/>
                <w:szCs w:val="24"/>
                <w:highlight w:val="none"/>
                <w:lang w:val="en-US" w:eastAsia="zh-CN"/>
              </w:rPr>
              <w:t>护栏生产线设备的供货业绩。</w:t>
            </w:r>
          </w:p>
        </w:tc>
      </w:tr>
    </w:tbl>
    <w:p w14:paraId="6508DF91">
      <w:pPr>
        <w:adjustRightInd w:val="0"/>
        <w:snapToGrid w:val="0"/>
        <w:spacing w:line="240" w:lineRule="auto"/>
        <w:jc w:val="center"/>
        <w:rPr>
          <w:rFonts w:hint="eastAsia" w:ascii="宋体" w:hAnsi="宋体"/>
          <w:snapToGrid w:val="0"/>
          <w:color w:val="auto"/>
          <w:kern w:val="0"/>
          <w:sz w:val="24"/>
          <w:szCs w:val="24"/>
          <w:highlight w:val="none"/>
        </w:rPr>
      </w:pPr>
    </w:p>
    <w:p w14:paraId="03DD18A8">
      <w:pPr>
        <w:adjustRightInd w:val="0"/>
        <w:snapToGrid w:val="0"/>
        <w:spacing w:line="240" w:lineRule="auto"/>
        <w:jc w:val="center"/>
        <w:rPr>
          <w:rFonts w:hint="eastAsia" w:ascii="宋体" w:hAnsi="宋体"/>
          <w:snapToGrid w:val="0"/>
          <w:color w:val="auto"/>
          <w:kern w:val="0"/>
          <w:sz w:val="24"/>
          <w:szCs w:val="24"/>
          <w:highlight w:val="none"/>
        </w:rPr>
      </w:pPr>
    </w:p>
    <w:p w14:paraId="106C397F">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071"/>
      </w:tblGrid>
      <w:tr w14:paraId="0DCEB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660" w:type="dxa"/>
            <w:tcBorders>
              <w:top w:val="single" w:color="000000" w:sz="2" w:space="0"/>
              <w:left w:val="single" w:color="auto" w:sz="4" w:space="0"/>
              <w:bottom w:val="single" w:color="000000" w:sz="4" w:space="0"/>
              <w:right w:val="single" w:color="000000" w:sz="2" w:space="0"/>
            </w:tcBorders>
            <w:noWrap w:val="0"/>
            <w:vAlign w:val="center"/>
          </w:tcPr>
          <w:p w14:paraId="208F4C04">
            <w:pPr>
              <w:adjustRightInd w:val="0"/>
              <w:snapToGrid w:val="0"/>
              <w:spacing w:line="240" w:lineRule="auto"/>
              <w:jc w:val="center"/>
              <w:textAlignment w:val="baseline"/>
              <w:rPr>
                <w:rStyle w:val="17"/>
                <w:rFonts w:ascii="宋体" w:hAnsi="宋体"/>
                <w:snapToGrid w:val="0"/>
                <w:color w:val="auto"/>
                <w:kern w:val="0"/>
                <w:sz w:val="24"/>
                <w:szCs w:val="24"/>
                <w:highlight w:val="none"/>
              </w:rPr>
            </w:pPr>
            <w:r>
              <w:rPr>
                <w:rStyle w:val="17"/>
                <w:rFonts w:ascii="宋体" w:hAnsi="宋体"/>
                <w:snapToGrid w:val="0"/>
                <w:color w:val="auto"/>
                <w:kern w:val="0"/>
                <w:sz w:val="24"/>
                <w:szCs w:val="24"/>
                <w:highlight w:val="none"/>
              </w:rPr>
              <w:t>信誉要求</w:t>
            </w:r>
          </w:p>
        </w:tc>
      </w:tr>
      <w:tr w14:paraId="3D539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660" w:type="dxa"/>
            <w:tcBorders>
              <w:top w:val="single" w:color="000000" w:sz="2" w:space="0"/>
              <w:left w:val="single" w:color="auto" w:sz="4" w:space="0"/>
              <w:bottom w:val="single" w:color="000000" w:sz="2" w:space="0"/>
              <w:right w:val="single" w:color="000000" w:sz="2" w:space="0"/>
            </w:tcBorders>
            <w:noWrap w:val="0"/>
            <w:vAlign w:val="center"/>
          </w:tcPr>
          <w:p w14:paraId="0F4C55A3">
            <w:pPr>
              <w:pStyle w:val="14"/>
              <w:spacing w:line="240" w:lineRule="auto"/>
              <w:ind w:left="0" w:leftChars="0" w:firstLine="0" w:firstLineChars="0"/>
              <w:jc w:val="left"/>
              <w:rPr>
                <w:rStyle w:val="17"/>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4</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11月</w:t>
            </w:r>
            <w:r>
              <w:rPr>
                <w:rFonts w:hint="eastAsia" w:ascii="宋体" w:hAnsi="宋体"/>
                <w:snapToGrid w:val="0"/>
                <w:color w:val="auto"/>
                <w:sz w:val="24"/>
                <w:szCs w:val="24"/>
                <w:highlight w:val="none"/>
                <w:lang w:bidi="ar"/>
              </w:rPr>
              <w:t>1日至</w:t>
            </w:r>
            <w:r>
              <w:rPr>
                <w:rStyle w:val="17"/>
                <w:rFonts w:hint="eastAsia" w:hAnsi="宋体"/>
                <w:bCs w:val="0"/>
                <w:snapToGrid w:val="0"/>
                <w:color w:val="auto"/>
                <w:sz w:val="24"/>
                <w:szCs w:val="24"/>
                <w:highlight w:val="none"/>
                <w:lang w:val="en-US" w:eastAsia="zh-CN"/>
              </w:rPr>
              <w:t>投标截止时间</w:t>
            </w:r>
            <w:r>
              <w:rPr>
                <w:rFonts w:hint="eastAsia" w:ascii="宋体" w:hAnsi="宋体"/>
                <w:snapToGrid w:val="0"/>
                <w:color w:val="auto"/>
                <w:sz w:val="24"/>
                <w:szCs w:val="24"/>
                <w:highlight w:val="none"/>
                <w:lang w:bidi="ar"/>
              </w:rPr>
              <w:t>）不曾在</w:t>
            </w:r>
            <w:r>
              <w:rPr>
                <w:rFonts w:hint="eastAsia" w:ascii="宋体" w:hAnsi="宋体"/>
                <w:snapToGrid w:val="0"/>
                <w:color w:val="auto"/>
                <w:sz w:val="24"/>
                <w:szCs w:val="24"/>
                <w:highlight w:val="none"/>
                <w:lang w:val="en-US" w:eastAsia="zh-CN" w:bidi="ar"/>
              </w:rPr>
              <w:t>新泽西护栏生产设备</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新泽西护栏生产设备</w:t>
            </w:r>
            <w:r>
              <w:rPr>
                <w:rFonts w:hint="eastAsia" w:ascii="宋体" w:hAnsi="宋体"/>
                <w:snapToGrid w:val="0"/>
                <w:color w:val="auto"/>
                <w:sz w:val="24"/>
                <w:szCs w:val="24"/>
                <w:highlight w:val="none"/>
                <w:lang w:bidi="ar"/>
              </w:rPr>
              <w:t>供货合同被解除。</w:t>
            </w:r>
          </w:p>
        </w:tc>
      </w:tr>
    </w:tbl>
    <w:p w14:paraId="52826803">
      <w:pPr>
        <w:pStyle w:val="6"/>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383086CA">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792409"/>
      <w:bookmarkStart w:id="5" w:name="_Toc531949857"/>
      <w:bookmarkStart w:id="6" w:name="_Toc450319202"/>
      <w:bookmarkStart w:id="7" w:name="_Toc509660966"/>
      <w:bookmarkStart w:id="8" w:name="_Toc459307890"/>
      <w:bookmarkStart w:id="9" w:name="_Toc502992691"/>
      <w:bookmarkStart w:id="10" w:name="_Toc134792892"/>
      <w:bookmarkStart w:id="11" w:name="_Toc509659998"/>
      <w:bookmarkStart w:id="12" w:name="_Toc134890444"/>
      <w:bookmarkStart w:id="13" w:name="_Toc134890522"/>
      <w:bookmarkStart w:id="14" w:name="_Toc134792341"/>
      <w:bookmarkStart w:id="15" w:name="_Toc445382083"/>
      <w:bookmarkStart w:id="16" w:name="_Toc444271617"/>
      <w:bookmarkStart w:id="17" w:name="_Toc445222503"/>
      <w:bookmarkStart w:id="18" w:name="_Toc444088432"/>
      <w:r>
        <w:rPr>
          <w:rFonts w:ascii="宋体" w:hAnsi="宋体"/>
          <w:b/>
          <w:bCs/>
          <w:snapToGrid w:val="0"/>
          <w:color w:val="auto"/>
          <w:kern w:val="0"/>
          <w:sz w:val="24"/>
          <w:highlight w:val="none"/>
        </w:rPr>
        <w:t>评标办法（</w:t>
      </w:r>
      <w:r>
        <w:rPr>
          <w:rFonts w:hint="eastAsia" w:ascii="宋体" w:hAnsi="宋体"/>
          <w:b/>
          <w:bCs/>
          <w:snapToGrid w:val="0"/>
          <w:color w:val="auto"/>
          <w:kern w:val="0"/>
          <w:sz w:val="24"/>
          <w:highlight w:val="none"/>
          <w:lang w:eastAsia="zh-CN"/>
        </w:rPr>
        <w:t>综合评估法</w:t>
      </w:r>
      <w:r>
        <w:rPr>
          <w:rFonts w:ascii="宋体" w:hAnsi="宋体"/>
          <w:b/>
          <w:bCs/>
          <w:snapToGrid w:val="0"/>
          <w:color w:val="auto"/>
          <w:kern w:val="0"/>
          <w:sz w:val="24"/>
          <w:highlight w:val="none"/>
        </w:rPr>
        <w:t>）</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24DD18DE">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8"/>
        <w:gridCol w:w="1629"/>
        <w:gridCol w:w="7408"/>
      </w:tblGrid>
      <w:tr w14:paraId="2921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797" w:type="dxa"/>
            <w:gridSpan w:val="2"/>
            <w:noWrap w:val="0"/>
            <w:vAlign w:val="center"/>
          </w:tcPr>
          <w:p w14:paraId="38E5E00D">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408" w:type="dxa"/>
            <w:noWrap w:val="0"/>
            <w:vAlign w:val="center"/>
          </w:tcPr>
          <w:p w14:paraId="505D4B1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15A0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68" w:type="dxa"/>
            <w:noWrap w:val="0"/>
            <w:vAlign w:val="center"/>
          </w:tcPr>
          <w:p w14:paraId="63101B87">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629" w:type="dxa"/>
            <w:noWrap w:val="0"/>
            <w:vAlign w:val="center"/>
          </w:tcPr>
          <w:p w14:paraId="57F92F94">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408" w:type="dxa"/>
            <w:noWrap w:val="0"/>
            <w:vAlign w:val="center"/>
          </w:tcPr>
          <w:p w14:paraId="3A883E8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w:t>
            </w:r>
            <w:r>
              <w:rPr>
                <w:rFonts w:hint="eastAsia" w:ascii="宋体" w:hAnsi="宋体" w:cs="宋体"/>
                <w:color w:val="auto"/>
                <w:sz w:val="24"/>
                <w:szCs w:val="24"/>
                <w:highlight w:val="none"/>
                <w:lang w:val="en-US" w:eastAsia="zh-CN"/>
              </w:rPr>
              <w:t>得</w:t>
            </w:r>
            <w:r>
              <w:rPr>
                <w:rFonts w:hint="eastAsia" w:ascii="宋体" w:hAnsi="宋体" w:eastAsia="宋体" w:cs="宋体"/>
                <w:color w:val="auto"/>
                <w:sz w:val="24"/>
                <w:szCs w:val="24"/>
                <w:highlight w:val="none"/>
              </w:rPr>
              <w:t>分相等时，评标委员会依次按照以下优先顺序推荐中标候选人：</w:t>
            </w:r>
          </w:p>
          <w:p w14:paraId="46BE977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4FA40D26">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7E68F661">
            <w:pPr>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（3）满足资格审查条件（业绩最低要求）的业绩累计合同金额高的优先。</w:t>
            </w:r>
          </w:p>
        </w:tc>
      </w:tr>
      <w:tr w14:paraId="163F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68" w:type="dxa"/>
            <w:noWrap w:val="0"/>
            <w:vAlign w:val="center"/>
          </w:tcPr>
          <w:p w14:paraId="1E8F298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5972609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629" w:type="dxa"/>
            <w:noWrap w:val="0"/>
            <w:vAlign w:val="center"/>
          </w:tcPr>
          <w:p w14:paraId="7F9AD30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408" w:type="dxa"/>
            <w:noWrap w:val="0"/>
            <w:vAlign w:val="center"/>
          </w:tcPr>
          <w:p w14:paraId="48529D1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62408A7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a.投标函按照招标文件规定填报了招标人名称、项目名称、补遗书编号（如有）、投标报价（包括大写金额和小写金额）</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交货地点、交货期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质量标准和安全目标</w:t>
            </w:r>
            <w:r>
              <w:rPr>
                <w:rFonts w:hint="eastAsia" w:ascii="宋体" w:hAnsi="宋体" w:eastAsia="宋体" w:cs="宋体"/>
                <w:color w:val="auto"/>
                <w:sz w:val="24"/>
                <w:szCs w:val="24"/>
                <w:highlight w:val="none"/>
              </w:rPr>
              <w:t>；</w:t>
            </w:r>
          </w:p>
          <w:p w14:paraId="546FDBD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B63ED5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0FE8BE2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w:t>
            </w:r>
            <w:r>
              <w:rPr>
                <w:rFonts w:hint="eastAsia" w:ascii="宋体" w:hAnsi="宋体" w:cs="宋体"/>
                <w:color w:val="auto"/>
                <w:sz w:val="24"/>
                <w:szCs w:val="24"/>
                <w:highlight w:val="none"/>
                <w:lang w:val="en-US" w:eastAsia="zh-CN"/>
              </w:rPr>
              <w:t>第</w:t>
            </w:r>
            <w:r>
              <w:rPr>
                <w:rFonts w:hint="eastAsia" w:ascii="宋体" w:hAnsi="宋体" w:eastAsia="宋体" w:cs="宋体"/>
                <w:color w:val="auto"/>
                <w:sz w:val="24"/>
                <w:szCs w:val="24"/>
                <w:highlight w:val="none"/>
              </w:rPr>
              <w:t>3.4.1规定。</w:t>
            </w:r>
          </w:p>
          <w:p w14:paraId="2662C10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31768E5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4097844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2AC01995">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57890B8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以上不同的投标文件。</w:t>
            </w:r>
          </w:p>
          <w:p w14:paraId="0E21650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（9）投标文件载明的招标项目完成期限未超过招标文件规定的时限。</w:t>
            </w:r>
          </w:p>
          <w:p w14:paraId="04977FF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）投标文件对招标文件的实质性要求和条件作出响应。</w:t>
            </w:r>
          </w:p>
          <w:p w14:paraId="45BBCF3B">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lang w:val="en-US" w:eastAsia="zh-CN"/>
              </w:rPr>
              <w:t>人所投设备须</w:t>
            </w:r>
            <w:r>
              <w:rPr>
                <w:rFonts w:hint="eastAsia" w:ascii="宋体" w:hAnsi="宋体" w:eastAsia="宋体" w:cs="宋体"/>
                <w:color w:val="auto"/>
                <w:sz w:val="24"/>
                <w:szCs w:val="24"/>
                <w:highlight w:val="none"/>
                <w:lang w:eastAsia="zh-CN"/>
              </w:rPr>
              <w:t>满足招标文件</w:t>
            </w:r>
            <w:r>
              <w:rPr>
                <w:rFonts w:hint="eastAsia" w:ascii="宋体" w:hAnsi="宋体" w:eastAsia="宋体" w:cs="宋体"/>
                <w:color w:val="auto"/>
                <w:sz w:val="24"/>
                <w:szCs w:val="24"/>
                <w:highlight w:val="none"/>
                <w:lang w:val="en-US" w:eastAsia="zh-CN"/>
              </w:rPr>
              <w:t>供货要求中</w:t>
            </w:r>
            <w:r>
              <w:rPr>
                <w:rFonts w:hint="eastAsia" w:ascii="宋体" w:hAnsi="宋体" w:eastAsia="宋体" w:cs="宋体"/>
                <w:color w:val="auto"/>
                <w:sz w:val="24"/>
                <w:szCs w:val="24"/>
                <w:highlight w:val="none"/>
                <w:lang w:eastAsia="zh-CN"/>
              </w:rPr>
              <w:t>的要求。</w:t>
            </w:r>
          </w:p>
          <w:p w14:paraId="58FD0BE3">
            <w:pPr>
              <w:pStyle w:val="9"/>
              <w:ind w:left="0" w:leftChars="0" w:firstLine="0" w:firstLineChars="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权利义务符合招标文件规定：</w:t>
            </w:r>
          </w:p>
          <w:p w14:paraId="05D67A9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7808EB4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b．投标人未增加发包人的责任范围，或减少投标人义务；</w:t>
            </w:r>
          </w:p>
          <w:p w14:paraId="287B978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c．投标人未提出不同的验收、计量、支付办法；</w:t>
            </w:r>
          </w:p>
          <w:p w14:paraId="36E5ABE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43B4B8E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2031DE43">
            <w:pPr>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f．投标人未对合同条款有重要保留</w:t>
            </w:r>
            <w:r>
              <w:rPr>
                <w:rFonts w:hint="eastAsia" w:ascii="宋体" w:hAnsi="宋体" w:cs="宋体"/>
                <w:color w:val="auto"/>
                <w:sz w:val="24"/>
                <w:szCs w:val="24"/>
                <w:highlight w:val="none"/>
                <w:lang w:eastAsia="zh-CN"/>
              </w:rPr>
              <w:t>。</w:t>
            </w:r>
          </w:p>
          <w:p w14:paraId="28165E1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投标总报价</w:t>
            </w:r>
            <w:r>
              <w:rPr>
                <w:rFonts w:hint="eastAsia" w:ascii="宋体" w:hAnsi="宋体" w:eastAsia="宋体" w:cs="宋体"/>
                <w:color w:val="auto"/>
                <w:sz w:val="24"/>
                <w:szCs w:val="24"/>
                <w:highlight w:val="none"/>
                <w:lang w:eastAsia="zh-CN"/>
              </w:rPr>
              <w:t>未超过招标文件设定的最高投标限价。</w:t>
            </w:r>
          </w:p>
          <w:p w14:paraId="1E06149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投标总报价</w:t>
            </w:r>
            <w:r>
              <w:rPr>
                <w:rFonts w:hint="eastAsia" w:ascii="宋体" w:hAnsi="宋体" w:eastAsia="宋体" w:cs="宋体"/>
                <w:color w:val="auto"/>
                <w:sz w:val="24"/>
                <w:szCs w:val="24"/>
                <w:highlight w:val="none"/>
              </w:rPr>
              <w:t>的大写金额能够确定具体数值。</w:t>
            </w:r>
          </w:p>
          <w:p w14:paraId="3DE3E82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w:t>
            </w:r>
            <w:r>
              <w:rPr>
                <w:rFonts w:hint="eastAsia" w:ascii="宋体" w:hAnsi="宋体" w:cs="宋体"/>
                <w:color w:val="auto"/>
                <w:sz w:val="24"/>
                <w:szCs w:val="24"/>
                <w:highlight w:val="none"/>
                <w:lang w:eastAsia="zh-CN"/>
              </w:rPr>
              <w:t>投标总报价</w:t>
            </w:r>
            <w:r>
              <w:rPr>
                <w:rFonts w:hint="eastAsia" w:ascii="宋体" w:hAnsi="宋体" w:eastAsia="宋体" w:cs="宋体"/>
                <w:color w:val="auto"/>
                <w:sz w:val="24"/>
                <w:szCs w:val="24"/>
                <w:highlight w:val="none"/>
              </w:rPr>
              <w:t>。</w:t>
            </w:r>
          </w:p>
          <w:p w14:paraId="55E54E40">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投标报价表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tc>
      </w:tr>
      <w:tr w14:paraId="3ED9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68" w:type="dxa"/>
            <w:noWrap w:val="0"/>
            <w:vAlign w:val="center"/>
          </w:tcPr>
          <w:p w14:paraId="54A92CB4">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629" w:type="dxa"/>
            <w:noWrap w:val="0"/>
            <w:vAlign w:val="center"/>
          </w:tcPr>
          <w:p w14:paraId="02EE95B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408" w:type="dxa"/>
            <w:noWrap w:val="0"/>
            <w:vAlign w:val="center"/>
          </w:tcPr>
          <w:p w14:paraId="645C5222">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（1）投标人具备有效的企业营业执照、组织机构代码证（三证合一或五证合一的除外）和基本账户开户许可证（或基本存款账户信息）；</w:t>
            </w:r>
          </w:p>
          <w:p w14:paraId="1AC585DA">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F2CF0B9">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lang w:eastAsia="zh-CN"/>
              </w:rPr>
              <w:t>投标人的</w:t>
            </w:r>
            <w:r>
              <w:rPr>
                <w:rFonts w:hint="eastAsia" w:cs="宋体"/>
                <w:color w:val="auto"/>
                <w:sz w:val="24"/>
                <w:szCs w:val="24"/>
                <w:highlight w:val="none"/>
                <w:lang w:val="en-US" w:eastAsia="zh-CN"/>
              </w:rPr>
              <w:t>业绩</w:t>
            </w:r>
            <w:r>
              <w:rPr>
                <w:rFonts w:hint="eastAsia" w:cs="宋体"/>
                <w:color w:val="auto"/>
                <w:sz w:val="24"/>
                <w:szCs w:val="24"/>
                <w:highlight w:val="none"/>
                <w:lang w:eastAsia="zh-CN"/>
              </w:rPr>
              <w:t>符合招标文件规定；</w:t>
            </w:r>
          </w:p>
          <w:p w14:paraId="12D05141">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5F0D390B">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w:t>
            </w:r>
            <w:r>
              <w:rPr>
                <w:rFonts w:hint="eastAsia" w:ascii="宋体" w:hAnsi="宋体" w:cs="宋体"/>
                <w:color w:val="auto"/>
                <w:sz w:val="24"/>
                <w:szCs w:val="24"/>
                <w:highlight w:val="none"/>
                <w:lang w:val="en-US" w:eastAsia="zh-CN"/>
              </w:rPr>
              <w:t>项</w:t>
            </w:r>
            <w:r>
              <w:rPr>
                <w:rFonts w:hint="eastAsia" w:ascii="宋体" w:hAnsi="宋体" w:eastAsia="宋体" w:cs="宋体"/>
                <w:color w:val="auto"/>
                <w:sz w:val="24"/>
                <w:szCs w:val="24"/>
                <w:highlight w:val="none"/>
              </w:rPr>
              <w:t>规定的任何一种情形。</w:t>
            </w:r>
          </w:p>
          <w:p w14:paraId="16CA0050">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投标人名称与营业执照一致，如企业名称有变更的，应提供其变更记录或相关部门的合法批件复印件。</w:t>
            </w:r>
          </w:p>
        </w:tc>
      </w:tr>
      <w:tr w14:paraId="0893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8" w:type="dxa"/>
            <w:noWrap w:val="0"/>
            <w:vAlign w:val="center"/>
          </w:tcPr>
          <w:p w14:paraId="52796DA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629" w:type="dxa"/>
            <w:noWrap w:val="0"/>
            <w:vAlign w:val="center"/>
          </w:tcPr>
          <w:p w14:paraId="0AABAAA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408" w:type="dxa"/>
            <w:noWrap w:val="0"/>
            <w:vAlign w:val="center"/>
          </w:tcPr>
          <w:p w14:paraId="7D757BE0">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1027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68" w:type="dxa"/>
            <w:noWrap w:val="0"/>
            <w:vAlign w:val="center"/>
          </w:tcPr>
          <w:p w14:paraId="0017702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629" w:type="dxa"/>
            <w:noWrap w:val="0"/>
            <w:vAlign w:val="center"/>
          </w:tcPr>
          <w:p w14:paraId="78107AFF">
            <w:pPr>
              <w:snapToGrid w:val="0"/>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分值构成</w:t>
            </w:r>
          </w:p>
          <w:p w14:paraId="665694A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408" w:type="dxa"/>
            <w:noWrap w:val="0"/>
            <w:vAlign w:val="center"/>
          </w:tcPr>
          <w:p w14:paraId="43D367D4">
            <w:pPr>
              <w:adjustRightInd w:val="0"/>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商务部分：30分；</w:t>
            </w:r>
          </w:p>
          <w:p w14:paraId="66F22402">
            <w:pPr>
              <w:adjustRightInd w:val="0"/>
              <w:snapToGrid w:val="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技术部分：20分；</w:t>
            </w:r>
          </w:p>
          <w:p w14:paraId="2899B461">
            <w:pPr>
              <w:snapToGrid w:val="0"/>
              <w:spacing w:line="24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评标价</w:t>
            </w:r>
            <w:r>
              <w:rPr>
                <w:rFonts w:hint="eastAsia" w:ascii="宋体" w:hAnsi="宋体" w:cs="宋体"/>
                <w:color w:val="auto"/>
                <w:sz w:val="24"/>
                <w:szCs w:val="24"/>
                <w:highlight w:val="none"/>
                <w:lang w:val="en-US" w:eastAsia="zh-CN"/>
              </w:rPr>
              <w:t>：50分。</w:t>
            </w:r>
          </w:p>
        </w:tc>
      </w:tr>
      <w:tr w14:paraId="0385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68" w:type="dxa"/>
            <w:noWrap w:val="0"/>
            <w:vAlign w:val="center"/>
          </w:tcPr>
          <w:p w14:paraId="0D7BA5E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w:t>
            </w:r>
          </w:p>
        </w:tc>
        <w:tc>
          <w:tcPr>
            <w:tcW w:w="1629" w:type="dxa"/>
            <w:noWrap w:val="0"/>
            <w:vAlign w:val="center"/>
          </w:tcPr>
          <w:p w14:paraId="43DC4B7C">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p>
          <w:p w14:paraId="44A1B3A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计算方法</w:t>
            </w:r>
          </w:p>
        </w:tc>
        <w:tc>
          <w:tcPr>
            <w:tcW w:w="7408" w:type="dxa"/>
            <w:noWrap w:val="0"/>
            <w:vAlign w:val="center"/>
          </w:tcPr>
          <w:p w14:paraId="2F155C5E">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评标基准价的计算：</w:t>
            </w:r>
          </w:p>
          <w:p w14:paraId="4D1EFBEB">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1、评标价的确定：</w:t>
            </w:r>
          </w:p>
          <w:p w14:paraId="5A150C3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p w14:paraId="6DCEF71E">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2、评标价平均值的计算：</w:t>
            </w:r>
          </w:p>
          <w:p w14:paraId="061977A8">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根据第二章“投标人须知”第5.</w:t>
            </w:r>
            <w:r>
              <w:rPr>
                <w:rFonts w:hint="eastAsia" w:ascii="宋体" w:hAnsi="宋体" w:cs="宋体"/>
                <w:color w:val="auto"/>
                <w:sz w:val="24"/>
                <w:szCs w:val="24"/>
                <w:highlight w:val="none"/>
                <w:lang w:val="en-US" w:eastAsia="zh-CN"/>
              </w:rPr>
              <w:t>5款</w:t>
            </w:r>
            <w:r>
              <w:rPr>
                <w:rFonts w:hint="eastAsia" w:ascii="宋体" w:hAnsi="宋体" w:eastAsia="宋体" w:cs="宋体"/>
                <w:color w:val="auto"/>
                <w:sz w:val="24"/>
                <w:szCs w:val="24"/>
                <w:highlight w:val="none"/>
                <w:lang w:val="en-US" w:eastAsia="zh-CN"/>
              </w:rPr>
              <w:t>规定在开标现场被宣布为不进入评标基准价计算的</w:t>
            </w:r>
            <w:r>
              <w:rPr>
                <w:rFonts w:hint="eastAsia" w:ascii="宋体" w:hAnsi="宋体" w:cs="宋体"/>
                <w:color w:val="auto"/>
                <w:sz w:val="24"/>
                <w:szCs w:val="24"/>
                <w:highlight w:val="none"/>
                <w:lang w:val="en-US" w:eastAsia="zh-CN"/>
              </w:rPr>
              <w:t>投标总报价</w:t>
            </w:r>
            <w:r>
              <w:rPr>
                <w:rFonts w:hint="eastAsia" w:ascii="宋体" w:hAnsi="宋体" w:eastAsia="宋体" w:cs="宋体"/>
                <w:color w:val="auto"/>
                <w:sz w:val="24"/>
                <w:szCs w:val="24"/>
                <w:highlight w:val="none"/>
                <w:lang w:val="en-US" w:eastAsia="zh-CN"/>
              </w:rPr>
              <w:t>除外，</w:t>
            </w:r>
            <w:r>
              <w:rPr>
                <w:rFonts w:hint="eastAsia" w:ascii="宋体" w:hAnsi="宋体" w:cs="宋体"/>
                <w:color w:val="auto"/>
                <w:sz w:val="24"/>
                <w:szCs w:val="24"/>
                <w:highlight w:val="none"/>
                <w:lang w:val="en-US" w:eastAsia="zh-CN"/>
              </w:rPr>
              <w:t>其余</w:t>
            </w:r>
            <w:r>
              <w:rPr>
                <w:rFonts w:hint="eastAsia" w:ascii="宋体" w:hAnsi="宋体" w:eastAsia="宋体" w:cs="宋体"/>
                <w:color w:val="auto"/>
                <w:sz w:val="24"/>
                <w:szCs w:val="24"/>
                <w:highlight w:val="none"/>
              </w:rPr>
              <w:t>所有投标人的评标价去掉规定个数的最高值和最低值后的算术平均值即为评标价平均值。</w:t>
            </w:r>
          </w:p>
          <w:p w14:paraId="352DDA9E">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a、如果参与评标价平均值计算的投标人数量＜6家时，计算评标价平均值时不去最高值和最低值。</w:t>
            </w:r>
          </w:p>
          <w:p w14:paraId="79CD8E84">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b、如果6家≤参与评标价平均值计算的投标人数量＜10家时，计算评标价平均值时去掉1个最高值和1个最低值。</w:t>
            </w:r>
          </w:p>
          <w:p w14:paraId="6C9A6B63">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c、如果10家≤参与评标价平均值计算的投标人数量＜20家时，计算评标价平均值时去掉2个最高值和2个最低值</w:t>
            </w:r>
            <w:r>
              <w:rPr>
                <w:rFonts w:hint="eastAsia" w:ascii="宋体" w:hAnsi="宋体" w:cs="宋体"/>
                <w:color w:val="auto"/>
                <w:sz w:val="24"/>
                <w:szCs w:val="24"/>
                <w:highlight w:val="none"/>
                <w:lang w:eastAsia="zh-CN"/>
              </w:rPr>
              <w:t>。</w:t>
            </w:r>
          </w:p>
          <w:p w14:paraId="44BF055A">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d、如果20家≤参与评标价平均值计算的投标人数量＜30家时，计算评标价平均值时去掉3个最高值和3个最低值</w:t>
            </w:r>
            <w:r>
              <w:rPr>
                <w:rFonts w:hint="eastAsia" w:ascii="宋体" w:hAnsi="宋体" w:cs="宋体"/>
                <w:color w:val="auto"/>
                <w:sz w:val="24"/>
                <w:szCs w:val="24"/>
                <w:highlight w:val="none"/>
                <w:lang w:eastAsia="zh-CN"/>
              </w:rPr>
              <w:t>。</w:t>
            </w:r>
          </w:p>
          <w:p w14:paraId="2818E29A">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e、如果30家≤参与评标价平均值计算的投标人数量时，计算评标价平均值时去掉5个最高值和5个最低值</w:t>
            </w:r>
            <w:r>
              <w:rPr>
                <w:rFonts w:hint="eastAsia" w:ascii="宋体" w:hAnsi="宋体" w:cs="宋体"/>
                <w:color w:val="auto"/>
                <w:sz w:val="24"/>
                <w:szCs w:val="24"/>
                <w:highlight w:val="none"/>
                <w:lang w:eastAsia="zh-CN"/>
              </w:rPr>
              <w:t>。</w:t>
            </w:r>
          </w:p>
          <w:p w14:paraId="0914B9DA">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3、评标基准价的确定：</w:t>
            </w:r>
          </w:p>
          <w:p w14:paraId="2E885F77">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评标价平均值作为评标基准价。</w:t>
            </w:r>
          </w:p>
          <w:p w14:paraId="2E74D44D">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评标基准价保留小数点后两位，小数点后第三位四舍五入。</w:t>
            </w:r>
          </w:p>
          <w:p w14:paraId="71237CF9">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7A7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68" w:type="dxa"/>
            <w:noWrap w:val="0"/>
            <w:vAlign w:val="center"/>
          </w:tcPr>
          <w:p w14:paraId="06527DB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w:t>
            </w:r>
          </w:p>
        </w:tc>
        <w:tc>
          <w:tcPr>
            <w:tcW w:w="1629" w:type="dxa"/>
            <w:noWrap w:val="0"/>
            <w:vAlign w:val="center"/>
          </w:tcPr>
          <w:p w14:paraId="34DB25B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评标价的偏差率计算公式</w:t>
            </w:r>
          </w:p>
        </w:tc>
        <w:tc>
          <w:tcPr>
            <w:tcW w:w="7408" w:type="dxa"/>
            <w:noWrap w:val="0"/>
            <w:vAlign w:val="center"/>
          </w:tcPr>
          <w:p w14:paraId="57638E5F">
            <w:pPr>
              <w:adjustRightInd w:val="0"/>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偏差率=100%×（投标人评标价-评标基准价）/评标基准价</w:t>
            </w:r>
          </w:p>
          <w:p w14:paraId="51731C0F">
            <w:pPr>
              <w:adjustRightInd w:val="0"/>
              <w:snapToGrid w:val="0"/>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eastAsia="宋体" w:cs="宋体"/>
                <w:color w:val="auto"/>
                <w:sz w:val="24"/>
                <w:szCs w:val="24"/>
                <w:highlight w:val="none"/>
                <w:lang w:val="en-US" w:eastAsia="zh-CN"/>
              </w:rPr>
              <w:t>偏差率价保留小数点后两位，小数点后第三位四舍五入。</w:t>
            </w:r>
          </w:p>
        </w:tc>
      </w:tr>
      <w:tr w14:paraId="580E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68" w:type="dxa"/>
            <w:noWrap w:val="0"/>
            <w:vAlign w:val="center"/>
          </w:tcPr>
          <w:p w14:paraId="7C7093C6">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629" w:type="dxa"/>
            <w:noWrap w:val="0"/>
            <w:vAlign w:val="center"/>
          </w:tcPr>
          <w:p w14:paraId="5F3B0664">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408" w:type="dxa"/>
            <w:noWrap w:val="0"/>
            <w:vAlign w:val="center"/>
          </w:tcPr>
          <w:p w14:paraId="74F1FA2B">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D43F15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0A9A01B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（1）投标人信用情况网页截图内容与在“国家企业信用信息公示系统”中严重违法失信名单（黑名单）信息（不含分公司）或在“信用中国”网站“中失信被执行人、</w:t>
            </w:r>
            <w:r>
              <w:rPr>
                <w:rFonts w:hint="eastAsia" w:ascii="宋体" w:hAnsi="宋体" w:cs="宋体"/>
                <w:color w:val="auto"/>
                <w:sz w:val="24"/>
                <w:szCs w:val="24"/>
                <w:highlight w:val="none"/>
                <w:lang w:eastAsia="zh-CN"/>
              </w:rPr>
              <w:t>经营（活动）异常名录</w:t>
            </w:r>
            <w:r>
              <w:rPr>
                <w:rFonts w:hint="eastAsia" w:ascii="宋体" w:hAnsi="宋体" w:eastAsia="宋体" w:cs="宋体"/>
                <w:color w:val="auto"/>
                <w:sz w:val="24"/>
                <w:szCs w:val="24"/>
                <w:highlight w:val="none"/>
              </w:rPr>
              <w:t>、重大税收违法失信主体</w:t>
            </w:r>
            <w:r>
              <w:rPr>
                <w:rFonts w:hint="eastAsia" w:ascii="宋体" w:hAnsi="宋体" w:cs="宋体"/>
                <w:color w:val="auto"/>
                <w:sz w:val="24"/>
                <w:szCs w:val="24"/>
                <w:highlight w:val="none"/>
                <w:lang w:eastAsia="zh-CN"/>
              </w:rPr>
              <w:t>名单、政府采购严重违法失信行为记录名单和安全生产严重失信主体名单</w:t>
            </w:r>
            <w:r>
              <w:rPr>
                <w:rFonts w:hint="eastAsia" w:ascii="宋体" w:hAnsi="宋体" w:eastAsia="宋体" w:cs="宋体"/>
                <w:color w:val="auto"/>
                <w:sz w:val="24"/>
                <w:szCs w:val="24"/>
                <w:highlight w:val="none"/>
              </w:rPr>
              <w:t>（均不含分公司）的复核结果一致。</w:t>
            </w:r>
          </w:p>
          <w:p w14:paraId="59D543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如投标人未提供相关网页截图或所附截图与复核结果不一致导致不能满足资格评审要求的，评标委员会应否决其投标。</w:t>
            </w:r>
          </w:p>
          <w:p w14:paraId="566A56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5EFAB70A">
      <w:pPr>
        <w:pStyle w:val="4"/>
        <w:adjustRightInd w:val="0"/>
        <w:snapToGrid w:val="0"/>
        <w:spacing w:line="360" w:lineRule="auto"/>
        <w:jc w:val="left"/>
        <w:textAlignment w:val="baseline"/>
        <w:rPr>
          <w:rFonts w:hint="eastAsia" w:hAnsi="宋体"/>
          <w:snapToGrid w:val="0"/>
          <w:color w:val="auto"/>
          <w:kern w:val="0"/>
          <w:sz w:val="24"/>
          <w:szCs w:val="24"/>
          <w:highlight w:val="none"/>
        </w:rPr>
      </w:pPr>
    </w:p>
    <w:p w14:paraId="1D7E943B">
      <w:pPr>
        <w:rPr>
          <w:rFonts w:hint="eastAsia" w:hAnsi="宋体"/>
          <w:snapToGrid w:val="0"/>
          <w:color w:val="auto"/>
          <w:kern w:val="0"/>
          <w:sz w:val="24"/>
          <w:szCs w:val="24"/>
          <w:highlight w:val="none"/>
        </w:rPr>
      </w:pPr>
      <w:r>
        <w:rPr>
          <w:rFonts w:hint="eastAsia" w:hAnsi="宋体"/>
          <w:snapToGrid w:val="0"/>
          <w:color w:val="auto"/>
          <w:kern w:val="0"/>
          <w:sz w:val="24"/>
          <w:szCs w:val="24"/>
          <w:highlight w:val="none"/>
        </w:rPr>
        <w:br w:type="page"/>
      </w:r>
    </w:p>
    <w:p w14:paraId="0CD77FD9">
      <w:pPr>
        <w:pStyle w:val="19"/>
        <w:rPr>
          <w:rFonts w:hint="eastAsia"/>
          <w:color w:val="auto"/>
          <w:highlight w:val="none"/>
        </w:rPr>
      </w:pPr>
      <w:bookmarkStart w:id="19" w:name="_Toc17733"/>
      <w:r>
        <w:rPr>
          <w:rFonts w:hint="eastAsia"/>
          <w:color w:val="auto"/>
          <w:highlight w:val="none"/>
        </w:rPr>
        <w:t>评分标准</w:t>
      </w:r>
      <w:bookmarkEnd w:id="19"/>
    </w:p>
    <w:p w14:paraId="1F0A193C">
      <w:pPr>
        <w:pStyle w:val="19"/>
        <w:outlineLvl w:val="9"/>
        <w:rPr>
          <w:rFonts w:hint="eastAsia"/>
          <w:color w:val="auto"/>
          <w:highlight w:val="none"/>
        </w:rPr>
      </w:pPr>
    </w:p>
    <w:tbl>
      <w:tblPr>
        <w:tblStyle w:val="12"/>
        <w:tblpPr w:leftFromText="180" w:rightFromText="180" w:vertAnchor="text" w:tblpXSpec="center" w:tblpY="1"/>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116"/>
        <w:gridCol w:w="1690"/>
        <w:gridCol w:w="5373"/>
        <w:gridCol w:w="1202"/>
      </w:tblGrid>
      <w:tr w14:paraId="597D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33" w:type="dxa"/>
            <w:noWrap w:val="0"/>
            <w:vAlign w:val="center"/>
          </w:tcPr>
          <w:p w14:paraId="055BA072">
            <w:pPr>
              <w:pStyle w:val="4"/>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992" w:type="dxa"/>
            <w:noWrap w:val="0"/>
            <w:vAlign w:val="center"/>
          </w:tcPr>
          <w:p w14:paraId="5F9C3888">
            <w:pPr>
              <w:pStyle w:val="4"/>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4CB1458B">
            <w:pPr>
              <w:pStyle w:val="4"/>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1502" w:type="dxa"/>
            <w:noWrap w:val="0"/>
            <w:vAlign w:val="center"/>
          </w:tcPr>
          <w:p w14:paraId="7DBBBA18">
            <w:pPr>
              <w:adjustRightInd w:val="0"/>
              <w:snapToGrid w:val="0"/>
              <w:jc w:val="center"/>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评分因素</w:t>
            </w:r>
            <w:r>
              <w:rPr>
                <w:rFonts w:hint="eastAsia" w:ascii="宋体" w:hAnsi="宋体" w:cs="宋体"/>
                <w:color w:val="auto"/>
                <w:sz w:val="24"/>
                <w:szCs w:val="24"/>
                <w:highlight w:val="none"/>
                <w:lang w:val="en-US" w:eastAsia="zh-CN"/>
              </w:rPr>
              <w:t>细项</w:t>
            </w:r>
          </w:p>
        </w:tc>
        <w:tc>
          <w:tcPr>
            <w:tcW w:w="5844" w:type="dxa"/>
            <w:gridSpan w:val="2"/>
            <w:noWrap w:val="0"/>
            <w:vAlign w:val="center"/>
          </w:tcPr>
          <w:p w14:paraId="30C48C67">
            <w:pPr>
              <w:jc w:val="center"/>
              <w:rPr>
                <w:rFonts w:ascii="宋体" w:hAnsi="宋体" w:cs="宋体"/>
                <w:color w:val="auto"/>
                <w:spacing w:val="-1"/>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2973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733" w:type="dxa"/>
            <w:vMerge w:val="restart"/>
            <w:noWrap w:val="0"/>
            <w:vAlign w:val="center"/>
          </w:tcPr>
          <w:p w14:paraId="70C4595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4</w:t>
            </w:r>
          </w:p>
          <w:p w14:paraId="02A8DD4F">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992" w:type="dxa"/>
            <w:vMerge w:val="restart"/>
            <w:noWrap w:val="0"/>
            <w:vAlign w:val="center"/>
          </w:tcPr>
          <w:p w14:paraId="029CFDD9">
            <w:pPr>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w:t>
            </w:r>
          </w:p>
          <w:p w14:paraId="0F5B9982">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0分）</w:t>
            </w:r>
          </w:p>
        </w:tc>
        <w:tc>
          <w:tcPr>
            <w:tcW w:w="1502" w:type="dxa"/>
            <w:vMerge w:val="restart"/>
            <w:noWrap w:val="0"/>
            <w:vAlign w:val="center"/>
          </w:tcPr>
          <w:p w14:paraId="4255F99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5844" w:type="dxa"/>
            <w:gridSpan w:val="2"/>
            <w:noWrap w:val="0"/>
            <w:vAlign w:val="center"/>
          </w:tcPr>
          <w:p w14:paraId="1B96B27C">
            <w:pPr>
              <w:ind w:right="113"/>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满足资格审查条件附录2（业绩最低要求）得18分，在满足资格审查条件（业绩最低要求）的基础上，每增加一项</w:t>
            </w:r>
            <w:r>
              <w:rPr>
                <w:rFonts w:hint="eastAsia" w:ascii="宋体" w:hAnsi="宋体" w:cs="宋体"/>
                <w:color w:val="auto"/>
                <w:sz w:val="24"/>
                <w:szCs w:val="24"/>
                <w:highlight w:val="none"/>
              </w:rPr>
              <w:t>满足资格审查条件(业绩最低要求)</w:t>
            </w:r>
            <w:r>
              <w:rPr>
                <w:rFonts w:hint="eastAsia" w:ascii="宋体" w:hAnsi="宋体" w:cs="宋体"/>
                <w:color w:val="auto"/>
                <w:sz w:val="24"/>
                <w:szCs w:val="24"/>
                <w:highlight w:val="none"/>
                <w:lang w:val="en-US" w:eastAsia="zh-CN"/>
              </w:rPr>
              <w:t>的加6分，最多加12分。</w:t>
            </w:r>
          </w:p>
        </w:tc>
      </w:tr>
      <w:tr w14:paraId="508B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3" w:type="dxa"/>
            <w:vMerge w:val="restart"/>
            <w:noWrap w:val="0"/>
            <w:vAlign w:val="center"/>
          </w:tcPr>
          <w:p w14:paraId="02FF4A0C">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4</w:t>
            </w:r>
          </w:p>
          <w:p w14:paraId="499FB7A7">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992" w:type="dxa"/>
            <w:vMerge w:val="restart"/>
            <w:noWrap w:val="0"/>
            <w:vAlign w:val="center"/>
          </w:tcPr>
          <w:p w14:paraId="5ABEFD96">
            <w:pPr>
              <w:pStyle w:val="9"/>
              <w:jc w:val="center"/>
              <w:rPr>
                <w:rFonts w:hint="eastAsia"/>
                <w:color w:val="auto"/>
                <w:highlight w:val="none"/>
                <w:lang w:eastAsia="zh-CN"/>
              </w:rPr>
            </w:pPr>
            <w:r>
              <w:rPr>
                <w:rFonts w:hint="eastAsia" w:cs="宋体"/>
                <w:color w:val="auto"/>
                <w:kern w:val="0"/>
                <w:sz w:val="24"/>
                <w:szCs w:val="24"/>
                <w:highlight w:val="none"/>
                <w:lang w:val="en-US" w:eastAsia="zh-CN"/>
              </w:rPr>
              <w:t>技术部分</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0分）</w:t>
            </w:r>
          </w:p>
        </w:tc>
        <w:tc>
          <w:tcPr>
            <w:tcW w:w="1502" w:type="dxa"/>
            <w:vMerge w:val="restart"/>
            <w:noWrap w:val="0"/>
            <w:vAlign w:val="center"/>
          </w:tcPr>
          <w:p w14:paraId="76879F9A">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pacing w:val="12"/>
                <w:sz w:val="24"/>
                <w:szCs w:val="24"/>
                <w:highlight w:val="none"/>
                <w:lang w:val="en-US" w:eastAsia="zh-CN"/>
              </w:rPr>
              <w:t>设备</w:t>
            </w:r>
            <w:r>
              <w:rPr>
                <w:rFonts w:hint="eastAsia" w:ascii="宋体" w:hAnsi="宋体" w:eastAsia="宋体" w:cs="宋体"/>
                <w:color w:val="auto"/>
                <w:spacing w:val="12"/>
                <w:sz w:val="24"/>
                <w:szCs w:val="24"/>
                <w:highlight w:val="none"/>
                <w:lang w:eastAsia="zh-CN"/>
              </w:rPr>
              <w:t>综合能力评价</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4776" w:type="dxa"/>
            <w:noWrap w:val="0"/>
            <w:vAlign w:val="center"/>
          </w:tcPr>
          <w:p w14:paraId="0474E8A1">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p>
        </w:tc>
        <w:tc>
          <w:tcPr>
            <w:tcW w:w="1068" w:type="dxa"/>
            <w:noWrap w:val="0"/>
            <w:vAlign w:val="center"/>
          </w:tcPr>
          <w:p w14:paraId="41E5D71E">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64F0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3" w:type="dxa"/>
            <w:vMerge w:val="continue"/>
            <w:noWrap w:val="0"/>
            <w:vAlign w:val="center"/>
          </w:tcPr>
          <w:p w14:paraId="38051499">
            <w:pPr>
              <w:jc w:val="center"/>
              <w:rPr>
                <w:rFonts w:hint="eastAsia" w:ascii="宋体" w:hAnsi="宋体" w:cs="宋体"/>
                <w:color w:val="auto"/>
                <w:kern w:val="0"/>
                <w:sz w:val="24"/>
                <w:szCs w:val="24"/>
                <w:highlight w:val="none"/>
              </w:rPr>
            </w:pPr>
          </w:p>
        </w:tc>
        <w:tc>
          <w:tcPr>
            <w:tcW w:w="992" w:type="dxa"/>
            <w:vMerge w:val="continue"/>
            <w:noWrap w:val="0"/>
            <w:vAlign w:val="center"/>
          </w:tcPr>
          <w:p w14:paraId="7445FDB4">
            <w:pPr>
              <w:jc w:val="center"/>
              <w:rPr>
                <w:rFonts w:hint="eastAsia" w:ascii="宋体" w:hAnsi="宋体" w:cs="宋体"/>
                <w:color w:val="auto"/>
                <w:kern w:val="0"/>
                <w:sz w:val="24"/>
                <w:szCs w:val="24"/>
                <w:highlight w:val="none"/>
              </w:rPr>
            </w:pPr>
          </w:p>
        </w:tc>
        <w:tc>
          <w:tcPr>
            <w:tcW w:w="1502" w:type="dxa"/>
            <w:vMerge w:val="continue"/>
            <w:noWrap w:val="0"/>
            <w:vAlign w:val="center"/>
          </w:tcPr>
          <w:p w14:paraId="2A7E2844">
            <w:pPr>
              <w:adjustRightInd w:val="0"/>
              <w:snapToGrid w:val="0"/>
              <w:jc w:val="center"/>
              <w:rPr>
                <w:rFonts w:hint="eastAsia" w:ascii="宋体" w:hAnsi="宋体" w:eastAsia="宋体" w:cs="宋体"/>
                <w:color w:val="auto"/>
                <w:sz w:val="24"/>
                <w:szCs w:val="24"/>
                <w:highlight w:val="none"/>
              </w:rPr>
            </w:pPr>
          </w:p>
        </w:tc>
        <w:tc>
          <w:tcPr>
            <w:tcW w:w="4776" w:type="dxa"/>
            <w:noWrap w:val="0"/>
            <w:vAlign w:val="center"/>
          </w:tcPr>
          <w:p w14:paraId="5DDA3B0F">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p>
        </w:tc>
        <w:tc>
          <w:tcPr>
            <w:tcW w:w="1068" w:type="dxa"/>
            <w:noWrap w:val="0"/>
            <w:vAlign w:val="center"/>
          </w:tcPr>
          <w:p w14:paraId="7E6E9A6C">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5671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3" w:type="dxa"/>
            <w:vMerge w:val="continue"/>
            <w:noWrap w:val="0"/>
            <w:vAlign w:val="center"/>
          </w:tcPr>
          <w:p w14:paraId="4E0BD79A">
            <w:pPr>
              <w:jc w:val="center"/>
              <w:rPr>
                <w:rFonts w:hint="eastAsia" w:ascii="宋体" w:hAnsi="宋体" w:cs="宋体"/>
                <w:color w:val="auto"/>
                <w:kern w:val="0"/>
                <w:sz w:val="24"/>
                <w:szCs w:val="24"/>
                <w:highlight w:val="none"/>
              </w:rPr>
            </w:pPr>
          </w:p>
        </w:tc>
        <w:tc>
          <w:tcPr>
            <w:tcW w:w="992" w:type="dxa"/>
            <w:vMerge w:val="continue"/>
            <w:noWrap w:val="0"/>
            <w:vAlign w:val="center"/>
          </w:tcPr>
          <w:p w14:paraId="5A5DC5A9">
            <w:pPr>
              <w:jc w:val="center"/>
              <w:rPr>
                <w:rFonts w:hint="eastAsia" w:ascii="宋体" w:hAnsi="宋体" w:cs="宋体"/>
                <w:color w:val="auto"/>
                <w:kern w:val="0"/>
                <w:sz w:val="24"/>
                <w:szCs w:val="24"/>
                <w:highlight w:val="none"/>
              </w:rPr>
            </w:pPr>
          </w:p>
        </w:tc>
        <w:tc>
          <w:tcPr>
            <w:tcW w:w="1502" w:type="dxa"/>
            <w:vMerge w:val="continue"/>
            <w:noWrap w:val="0"/>
            <w:vAlign w:val="center"/>
          </w:tcPr>
          <w:p w14:paraId="5C564CA7">
            <w:pPr>
              <w:adjustRightInd w:val="0"/>
              <w:snapToGrid w:val="0"/>
              <w:jc w:val="center"/>
              <w:rPr>
                <w:rFonts w:hint="eastAsia" w:ascii="宋体" w:hAnsi="宋体" w:eastAsia="宋体" w:cs="宋体"/>
                <w:color w:val="auto"/>
                <w:sz w:val="24"/>
                <w:szCs w:val="24"/>
                <w:highlight w:val="none"/>
              </w:rPr>
            </w:pPr>
          </w:p>
        </w:tc>
        <w:tc>
          <w:tcPr>
            <w:tcW w:w="4776" w:type="dxa"/>
            <w:noWrap w:val="0"/>
            <w:vAlign w:val="center"/>
          </w:tcPr>
          <w:p w14:paraId="3150C861">
            <w:pPr>
              <w:jc w:val="both"/>
              <w:rPr>
                <w:rFonts w:hint="default" w:ascii="宋体" w:hAnsi="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p>
        </w:tc>
        <w:tc>
          <w:tcPr>
            <w:tcW w:w="1068" w:type="dxa"/>
            <w:noWrap w:val="0"/>
            <w:vAlign w:val="center"/>
          </w:tcPr>
          <w:p w14:paraId="38ABD64F">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.0</w:t>
            </w:r>
          </w:p>
        </w:tc>
      </w:tr>
      <w:tr w14:paraId="678B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33" w:type="dxa"/>
            <w:vMerge w:val="continue"/>
            <w:noWrap w:val="0"/>
            <w:vAlign w:val="center"/>
          </w:tcPr>
          <w:p w14:paraId="5FC20ADC">
            <w:pPr>
              <w:jc w:val="center"/>
              <w:rPr>
                <w:rFonts w:hint="eastAsia" w:ascii="宋体" w:hAnsi="宋体" w:cs="宋体"/>
                <w:color w:val="auto"/>
                <w:kern w:val="0"/>
                <w:sz w:val="24"/>
                <w:szCs w:val="24"/>
                <w:highlight w:val="none"/>
              </w:rPr>
            </w:pPr>
          </w:p>
        </w:tc>
        <w:tc>
          <w:tcPr>
            <w:tcW w:w="992" w:type="dxa"/>
            <w:vMerge w:val="continue"/>
            <w:noWrap w:val="0"/>
            <w:vAlign w:val="center"/>
          </w:tcPr>
          <w:p w14:paraId="1FD153C5">
            <w:pPr>
              <w:jc w:val="center"/>
              <w:rPr>
                <w:rFonts w:hint="eastAsia" w:ascii="宋体" w:hAnsi="宋体" w:cs="宋体"/>
                <w:color w:val="auto"/>
                <w:kern w:val="0"/>
                <w:sz w:val="24"/>
                <w:szCs w:val="24"/>
                <w:highlight w:val="none"/>
              </w:rPr>
            </w:pPr>
          </w:p>
        </w:tc>
        <w:tc>
          <w:tcPr>
            <w:tcW w:w="1502" w:type="dxa"/>
            <w:vMerge w:val="restart"/>
            <w:noWrap w:val="0"/>
            <w:vAlign w:val="center"/>
          </w:tcPr>
          <w:p w14:paraId="28A88D2C">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主要配置及技术性能指标的响应程度评价</w:t>
            </w:r>
          </w:p>
          <w:p w14:paraId="5F0EC9E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4776" w:type="dxa"/>
            <w:noWrap w:val="0"/>
            <w:vAlign w:val="center"/>
          </w:tcPr>
          <w:p w14:paraId="6E9AB304">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功能配置齐全、实用性强、主要零部件的性能参数高</w:t>
            </w:r>
          </w:p>
        </w:tc>
        <w:tc>
          <w:tcPr>
            <w:tcW w:w="1068" w:type="dxa"/>
            <w:noWrap w:val="0"/>
            <w:vAlign w:val="center"/>
          </w:tcPr>
          <w:p w14:paraId="60C0D780">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1060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733" w:type="dxa"/>
            <w:vMerge w:val="continue"/>
            <w:noWrap w:val="0"/>
            <w:vAlign w:val="center"/>
          </w:tcPr>
          <w:p w14:paraId="6F0268B8">
            <w:pPr>
              <w:jc w:val="center"/>
              <w:rPr>
                <w:rFonts w:hint="eastAsia" w:ascii="宋体" w:hAnsi="宋体" w:cs="宋体"/>
                <w:color w:val="auto"/>
                <w:kern w:val="0"/>
                <w:sz w:val="24"/>
                <w:szCs w:val="24"/>
                <w:highlight w:val="none"/>
              </w:rPr>
            </w:pPr>
          </w:p>
        </w:tc>
        <w:tc>
          <w:tcPr>
            <w:tcW w:w="992" w:type="dxa"/>
            <w:vMerge w:val="continue"/>
            <w:noWrap w:val="0"/>
            <w:vAlign w:val="center"/>
          </w:tcPr>
          <w:p w14:paraId="3AEE30AD">
            <w:pPr>
              <w:jc w:val="center"/>
              <w:rPr>
                <w:rFonts w:hint="eastAsia" w:ascii="宋体" w:hAnsi="宋体" w:cs="宋体"/>
                <w:color w:val="auto"/>
                <w:kern w:val="0"/>
                <w:sz w:val="24"/>
                <w:szCs w:val="24"/>
                <w:highlight w:val="none"/>
              </w:rPr>
            </w:pPr>
          </w:p>
        </w:tc>
        <w:tc>
          <w:tcPr>
            <w:tcW w:w="1502" w:type="dxa"/>
            <w:vMerge w:val="continue"/>
            <w:noWrap w:val="0"/>
            <w:vAlign w:val="center"/>
          </w:tcPr>
          <w:p w14:paraId="0A9133A1">
            <w:pPr>
              <w:jc w:val="center"/>
              <w:rPr>
                <w:rFonts w:hint="eastAsia" w:ascii="宋体" w:hAnsi="宋体" w:cs="宋体"/>
                <w:color w:val="auto"/>
                <w:sz w:val="24"/>
                <w:szCs w:val="24"/>
                <w:highlight w:val="none"/>
              </w:rPr>
            </w:pPr>
          </w:p>
        </w:tc>
        <w:tc>
          <w:tcPr>
            <w:tcW w:w="4776" w:type="dxa"/>
            <w:noWrap w:val="0"/>
            <w:vAlign w:val="center"/>
          </w:tcPr>
          <w:p w14:paraId="30F51681">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功能配置较齐全、实用性较强、主要零部件的性能参数较高</w:t>
            </w:r>
          </w:p>
        </w:tc>
        <w:tc>
          <w:tcPr>
            <w:tcW w:w="1068" w:type="dxa"/>
            <w:noWrap w:val="0"/>
            <w:vAlign w:val="center"/>
          </w:tcPr>
          <w:p w14:paraId="60AE877E">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4847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33" w:type="dxa"/>
            <w:vMerge w:val="continue"/>
            <w:noWrap w:val="0"/>
            <w:vAlign w:val="center"/>
          </w:tcPr>
          <w:p w14:paraId="2434C5D1">
            <w:pPr>
              <w:jc w:val="center"/>
              <w:rPr>
                <w:rFonts w:hint="eastAsia" w:ascii="宋体" w:hAnsi="宋体" w:cs="宋体"/>
                <w:color w:val="auto"/>
                <w:kern w:val="0"/>
                <w:sz w:val="24"/>
                <w:szCs w:val="24"/>
                <w:highlight w:val="none"/>
              </w:rPr>
            </w:pPr>
          </w:p>
        </w:tc>
        <w:tc>
          <w:tcPr>
            <w:tcW w:w="992" w:type="dxa"/>
            <w:vMerge w:val="continue"/>
            <w:noWrap w:val="0"/>
            <w:vAlign w:val="center"/>
          </w:tcPr>
          <w:p w14:paraId="5FE70C6E">
            <w:pPr>
              <w:jc w:val="center"/>
              <w:rPr>
                <w:rFonts w:hint="eastAsia" w:ascii="宋体" w:hAnsi="宋体" w:cs="宋体"/>
                <w:color w:val="auto"/>
                <w:kern w:val="0"/>
                <w:sz w:val="24"/>
                <w:szCs w:val="24"/>
                <w:highlight w:val="none"/>
              </w:rPr>
            </w:pPr>
          </w:p>
        </w:tc>
        <w:tc>
          <w:tcPr>
            <w:tcW w:w="1502" w:type="dxa"/>
            <w:vMerge w:val="continue"/>
            <w:noWrap w:val="0"/>
            <w:vAlign w:val="center"/>
          </w:tcPr>
          <w:p w14:paraId="7E913040">
            <w:pPr>
              <w:jc w:val="center"/>
              <w:rPr>
                <w:rFonts w:hint="eastAsia" w:ascii="宋体" w:hAnsi="宋体" w:cs="宋体"/>
                <w:color w:val="auto"/>
                <w:sz w:val="24"/>
                <w:szCs w:val="24"/>
                <w:highlight w:val="none"/>
              </w:rPr>
            </w:pPr>
          </w:p>
        </w:tc>
        <w:tc>
          <w:tcPr>
            <w:tcW w:w="4776" w:type="dxa"/>
            <w:noWrap w:val="0"/>
            <w:vAlign w:val="center"/>
          </w:tcPr>
          <w:p w14:paraId="01CC80EF">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功能配置一般、实用性一般、主要零部件的性能参数一般</w:t>
            </w:r>
          </w:p>
        </w:tc>
        <w:tc>
          <w:tcPr>
            <w:tcW w:w="1068" w:type="dxa"/>
            <w:noWrap w:val="0"/>
            <w:vAlign w:val="center"/>
          </w:tcPr>
          <w:p w14:paraId="35BD3B87">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.0</w:t>
            </w:r>
          </w:p>
        </w:tc>
      </w:tr>
      <w:tr w14:paraId="5CDD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33" w:type="dxa"/>
            <w:vMerge w:val="continue"/>
            <w:noWrap w:val="0"/>
            <w:vAlign w:val="center"/>
          </w:tcPr>
          <w:p w14:paraId="15A03A35">
            <w:pPr>
              <w:jc w:val="center"/>
              <w:rPr>
                <w:rFonts w:hint="eastAsia" w:ascii="宋体" w:hAnsi="宋体" w:cs="宋体"/>
                <w:color w:val="auto"/>
                <w:kern w:val="0"/>
                <w:sz w:val="24"/>
                <w:szCs w:val="24"/>
                <w:highlight w:val="none"/>
              </w:rPr>
            </w:pPr>
          </w:p>
        </w:tc>
        <w:tc>
          <w:tcPr>
            <w:tcW w:w="992" w:type="dxa"/>
            <w:vMerge w:val="continue"/>
            <w:noWrap w:val="0"/>
            <w:vAlign w:val="center"/>
          </w:tcPr>
          <w:p w14:paraId="36D4731A">
            <w:pPr>
              <w:jc w:val="center"/>
              <w:rPr>
                <w:rFonts w:hint="eastAsia" w:ascii="宋体" w:hAnsi="宋体" w:cs="宋体"/>
                <w:color w:val="auto"/>
                <w:kern w:val="0"/>
                <w:sz w:val="24"/>
                <w:szCs w:val="24"/>
                <w:highlight w:val="none"/>
              </w:rPr>
            </w:pPr>
          </w:p>
        </w:tc>
        <w:tc>
          <w:tcPr>
            <w:tcW w:w="1502" w:type="dxa"/>
            <w:vMerge w:val="restart"/>
            <w:noWrap w:val="0"/>
            <w:vAlign w:val="center"/>
          </w:tcPr>
          <w:p w14:paraId="742A2ABC">
            <w:pPr>
              <w:ind w:right="113"/>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交货期服务方案及服务能力评价</w:t>
            </w:r>
          </w:p>
          <w:p w14:paraId="0B193034">
            <w:pPr>
              <w:ind w:right="113"/>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4776" w:type="dxa"/>
            <w:noWrap w:val="0"/>
            <w:vAlign w:val="center"/>
          </w:tcPr>
          <w:p w14:paraId="4651532C">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p>
        </w:tc>
        <w:tc>
          <w:tcPr>
            <w:tcW w:w="1068" w:type="dxa"/>
            <w:noWrap w:val="0"/>
            <w:vAlign w:val="center"/>
          </w:tcPr>
          <w:p w14:paraId="4DFB6EF1">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4F69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33" w:type="dxa"/>
            <w:vMerge w:val="continue"/>
            <w:noWrap w:val="0"/>
            <w:vAlign w:val="center"/>
          </w:tcPr>
          <w:p w14:paraId="21DD265F">
            <w:pPr>
              <w:jc w:val="center"/>
              <w:rPr>
                <w:rFonts w:hint="eastAsia" w:ascii="宋体" w:hAnsi="宋体" w:cs="宋体"/>
                <w:color w:val="auto"/>
                <w:kern w:val="0"/>
                <w:sz w:val="24"/>
                <w:szCs w:val="24"/>
                <w:highlight w:val="none"/>
              </w:rPr>
            </w:pPr>
          </w:p>
        </w:tc>
        <w:tc>
          <w:tcPr>
            <w:tcW w:w="992" w:type="dxa"/>
            <w:vMerge w:val="continue"/>
            <w:noWrap w:val="0"/>
            <w:vAlign w:val="center"/>
          </w:tcPr>
          <w:p w14:paraId="3E1495E1">
            <w:pPr>
              <w:jc w:val="center"/>
              <w:rPr>
                <w:rFonts w:hint="eastAsia" w:ascii="宋体" w:hAnsi="宋体" w:cs="宋体"/>
                <w:color w:val="auto"/>
                <w:kern w:val="0"/>
                <w:sz w:val="24"/>
                <w:szCs w:val="24"/>
                <w:highlight w:val="none"/>
              </w:rPr>
            </w:pPr>
          </w:p>
        </w:tc>
        <w:tc>
          <w:tcPr>
            <w:tcW w:w="1502" w:type="dxa"/>
            <w:vMerge w:val="continue"/>
            <w:noWrap w:val="0"/>
            <w:vAlign w:val="center"/>
          </w:tcPr>
          <w:p w14:paraId="11136BDB">
            <w:pPr>
              <w:ind w:right="113"/>
              <w:jc w:val="left"/>
              <w:rPr>
                <w:rFonts w:hint="eastAsia" w:ascii="宋体" w:hAnsi="宋体" w:eastAsia="宋体" w:cs="宋体"/>
                <w:color w:val="auto"/>
                <w:sz w:val="24"/>
                <w:szCs w:val="24"/>
                <w:highlight w:val="none"/>
              </w:rPr>
            </w:pPr>
          </w:p>
        </w:tc>
        <w:tc>
          <w:tcPr>
            <w:tcW w:w="4776" w:type="dxa"/>
            <w:noWrap w:val="0"/>
            <w:vAlign w:val="center"/>
          </w:tcPr>
          <w:p w14:paraId="6961FD19">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p>
        </w:tc>
        <w:tc>
          <w:tcPr>
            <w:tcW w:w="1068" w:type="dxa"/>
            <w:noWrap w:val="0"/>
            <w:vAlign w:val="center"/>
          </w:tcPr>
          <w:p w14:paraId="110EE4D0">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49A4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33" w:type="dxa"/>
            <w:vMerge w:val="continue"/>
            <w:noWrap w:val="0"/>
            <w:vAlign w:val="center"/>
          </w:tcPr>
          <w:p w14:paraId="2BED3A95">
            <w:pPr>
              <w:jc w:val="center"/>
              <w:rPr>
                <w:rFonts w:hint="eastAsia" w:ascii="宋体" w:hAnsi="宋体" w:cs="宋体"/>
                <w:color w:val="auto"/>
                <w:kern w:val="0"/>
                <w:sz w:val="24"/>
                <w:szCs w:val="24"/>
                <w:highlight w:val="none"/>
              </w:rPr>
            </w:pPr>
          </w:p>
        </w:tc>
        <w:tc>
          <w:tcPr>
            <w:tcW w:w="992" w:type="dxa"/>
            <w:vMerge w:val="continue"/>
            <w:noWrap w:val="0"/>
            <w:vAlign w:val="center"/>
          </w:tcPr>
          <w:p w14:paraId="6FF51823">
            <w:pPr>
              <w:jc w:val="center"/>
              <w:rPr>
                <w:rFonts w:hint="eastAsia" w:ascii="宋体" w:hAnsi="宋体" w:cs="宋体"/>
                <w:color w:val="auto"/>
                <w:kern w:val="0"/>
                <w:sz w:val="24"/>
                <w:szCs w:val="24"/>
                <w:highlight w:val="none"/>
              </w:rPr>
            </w:pPr>
          </w:p>
        </w:tc>
        <w:tc>
          <w:tcPr>
            <w:tcW w:w="1502" w:type="dxa"/>
            <w:vMerge w:val="continue"/>
            <w:noWrap w:val="0"/>
            <w:vAlign w:val="center"/>
          </w:tcPr>
          <w:p w14:paraId="15F33905">
            <w:pPr>
              <w:ind w:right="113"/>
              <w:jc w:val="left"/>
              <w:rPr>
                <w:rFonts w:hint="eastAsia" w:ascii="宋体" w:hAnsi="宋体" w:eastAsia="宋体" w:cs="宋体"/>
                <w:color w:val="auto"/>
                <w:sz w:val="24"/>
                <w:szCs w:val="24"/>
                <w:highlight w:val="none"/>
              </w:rPr>
            </w:pPr>
          </w:p>
        </w:tc>
        <w:tc>
          <w:tcPr>
            <w:tcW w:w="4776" w:type="dxa"/>
            <w:noWrap w:val="0"/>
            <w:vAlign w:val="center"/>
          </w:tcPr>
          <w:p w14:paraId="1282B846">
            <w:pPr>
              <w:jc w:val="both"/>
              <w:rPr>
                <w:rFonts w:hint="default" w:ascii="宋体" w:hAnsi="宋体" w:eastAsia="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p>
        </w:tc>
        <w:tc>
          <w:tcPr>
            <w:tcW w:w="1068" w:type="dxa"/>
            <w:noWrap w:val="0"/>
            <w:vAlign w:val="center"/>
          </w:tcPr>
          <w:p w14:paraId="1E362FE5">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.0</w:t>
            </w:r>
          </w:p>
        </w:tc>
      </w:tr>
      <w:tr w14:paraId="22DF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33" w:type="dxa"/>
            <w:vMerge w:val="continue"/>
            <w:noWrap w:val="0"/>
            <w:vAlign w:val="center"/>
          </w:tcPr>
          <w:p w14:paraId="369BCE38">
            <w:pPr>
              <w:jc w:val="center"/>
              <w:rPr>
                <w:rFonts w:hint="eastAsia" w:ascii="宋体" w:hAnsi="宋体" w:cs="宋体"/>
                <w:color w:val="auto"/>
                <w:kern w:val="0"/>
                <w:sz w:val="24"/>
                <w:szCs w:val="24"/>
                <w:highlight w:val="none"/>
              </w:rPr>
            </w:pPr>
          </w:p>
        </w:tc>
        <w:tc>
          <w:tcPr>
            <w:tcW w:w="992" w:type="dxa"/>
            <w:vMerge w:val="continue"/>
            <w:noWrap w:val="0"/>
            <w:vAlign w:val="center"/>
          </w:tcPr>
          <w:p w14:paraId="6A879B42">
            <w:pPr>
              <w:jc w:val="center"/>
              <w:rPr>
                <w:rFonts w:hint="eastAsia" w:ascii="宋体" w:hAnsi="宋体" w:cs="宋体"/>
                <w:color w:val="auto"/>
                <w:kern w:val="0"/>
                <w:sz w:val="24"/>
                <w:szCs w:val="24"/>
                <w:highlight w:val="none"/>
              </w:rPr>
            </w:pPr>
          </w:p>
        </w:tc>
        <w:tc>
          <w:tcPr>
            <w:tcW w:w="1502" w:type="dxa"/>
            <w:vMerge w:val="restart"/>
            <w:noWrap w:val="0"/>
            <w:vAlign w:val="center"/>
          </w:tcPr>
          <w:p w14:paraId="7BAE7F64">
            <w:pPr>
              <w:ind w:right="113"/>
              <w:jc w:val="center"/>
              <w:rPr>
                <w:rFonts w:hint="eastAsia"/>
                <w:color w:val="auto"/>
                <w:highlight w:val="none"/>
                <w:lang w:eastAsia="zh-CN"/>
              </w:rPr>
            </w:pPr>
            <w:r>
              <w:rPr>
                <w:rFonts w:hint="eastAsia"/>
                <w:color w:val="auto"/>
                <w:highlight w:val="none"/>
                <w:lang w:eastAsia="zh-CN"/>
              </w:rPr>
              <w:t>技术服务和质保期服务能力的评价</w:t>
            </w:r>
          </w:p>
          <w:p w14:paraId="2B50F0EF">
            <w:pPr>
              <w:pStyle w:val="2"/>
              <w:rPr>
                <w:rFonts w:hint="eastAsia"/>
                <w:color w:val="auto"/>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lang w:eastAsia="zh-CN"/>
              </w:rPr>
              <w:t>分)</w:t>
            </w:r>
          </w:p>
        </w:tc>
        <w:tc>
          <w:tcPr>
            <w:tcW w:w="4776" w:type="dxa"/>
            <w:noWrap w:val="0"/>
            <w:vAlign w:val="center"/>
          </w:tcPr>
          <w:p w14:paraId="7435951B">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技术服务能力、维保能力强，有良好的保养检测等售后服务</w:t>
            </w:r>
          </w:p>
        </w:tc>
        <w:tc>
          <w:tcPr>
            <w:tcW w:w="1068" w:type="dxa"/>
            <w:noWrap w:val="0"/>
            <w:vAlign w:val="center"/>
          </w:tcPr>
          <w:p w14:paraId="73DABF36">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4</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5</w:t>
            </w:r>
            <w:r>
              <w:rPr>
                <w:rFonts w:hint="eastAsia" w:cs="宋体"/>
                <w:bCs/>
                <w:color w:val="auto"/>
                <w:highlight w:val="none"/>
              </w:rPr>
              <w:t>.0</w:t>
            </w:r>
          </w:p>
        </w:tc>
      </w:tr>
      <w:tr w14:paraId="6C64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33" w:type="dxa"/>
            <w:vMerge w:val="continue"/>
            <w:noWrap w:val="0"/>
            <w:vAlign w:val="center"/>
          </w:tcPr>
          <w:p w14:paraId="21B7233D">
            <w:pPr>
              <w:jc w:val="center"/>
              <w:rPr>
                <w:rFonts w:hint="eastAsia" w:ascii="宋体" w:hAnsi="宋体" w:cs="宋体"/>
                <w:color w:val="auto"/>
                <w:kern w:val="0"/>
                <w:sz w:val="24"/>
                <w:szCs w:val="24"/>
                <w:highlight w:val="none"/>
              </w:rPr>
            </w:pPr>
          </w:p>
        </w:tc>
        <w:tc>
          <w:tcPr>
            <w:tcW w:w="992" w:type="dxa"/>
            <w:vMerge w:val="continue"/>
            <w:noWrap w:val="0"/>
            <w:vAlign w:val="center"/>
          </w:tcPr>
          <w:p w14:paraId="31EB0B67">
            <w:pPr>
              <w:jc w:val="center"/>
              <w:rPr>
                <w:rFonts w:hint="eastAsia" w:ascii="宋体" w:hAnsi="宋体" w:cs="宋体"/>
                <w:color w:val="auto"/>
                <w:kern w:val="0"/>
                <w:sz w:val="24"/>
                <w:szCs w:val="24"/>
                <w:highlight w:val="none"/>
              </w:rPr>
            </w:pPr>
          </w:p>
        </w:tc>
        <w:tc>
          <w:tcPr>
            <w:tcW w:w="1502" w:type="dxa"/>
            <w:vMerge w:val="continue"/>
            <w:noWrap w:val="0"/>
            <w:vAlign w:val="center"/>
          </w:tcPr>
          <w:p w14:paraId="7E8257BC">
            <w:pPr>
              <w:ind w:right="113"/>
              <w:jc w:val="left"/>
              <w:rPr>
                <w:rFonts w:hint="eastAsia" w:ascii="宋体" w:hAnsi="宋体" w:eastAsia="宋体" w:cs="宋体"/>
                <w:color w:val="auto"/>
                <w:sz w:val="24"/>
                <w:szCs w:val="24"/>
                <w:highlight w:val="none"/>
              </w:rPr>
            </w:pPr>
          </w:p>
        </w:tc>
        <w:tc>
          <w:tcPr>
            <w:tcW w:w="4776" w:type="dxa"/>
            <w:noWrap w:val="0"/>
            <w:vAlign w:val="center"/>
          </w:tcPr>
          <w:p w14:paraId="78AE74A3">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技术服务能力、维保能力较强，有较好的保养检测等售后服务</w:t>
            </w:r>
          </w:p>
        </w:tc>
        <w:tc>
          <w:tcPr>
            <w:tcW w:w="1068" w:type="dxa"/>
            <w:noWrap w:val="0"/>
            <w:vAlign w:val="center"/>
          </w:tcPr>
          <w:p w14:paraId="3A31A4B3">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w:t>
            </w:r>
            <w:r>
              <w:rPr>
                <w:rFonts w:hint="eastAsia" w:cs="宋体"/>
                <w:bCs/>
                <w:color w:val="auto"/>
                <w:highlight w:val="none"/>
                <w:lang w:val="en-US" w:eastAsia="zh-CN"/>
              </w:rPr>
              <w:t>0</w:t>
            </w:r>
            <w:r>
              <w:rPr>
                <w:rFonts w:hint="eastAsia" w:cs="宋体"/>
                <w:bCs/>
                <w:color w:val="auto"/>
                <w:highlight w:val="none"/>
              </w:rPr>
              <w:t>-</w:t>
            </w:r>
            <w:r>
              <w:rPr>
                <w:rFonts w:hint="eastAsia" w:cs="宋体"/>
                <w:bCs/>
                <w:color w:val="auto"/>
                <w:highlight w:val="none"/>
                <w:lang w:val="en-US" w:eastAsia="zh-CN"/>
              </w:rPr>
              <w:t>4</w:t>
            </w:r>
            <w:r>
              <w:rPr>
                <w:rFonts w:hint="eastAsia" w:cs="宋体"/>
                <w:bCs/>
                <w:color w:val="auto"/>
                <w:highlight w:val="none"/>
              </w:rPr>
              <w:t>.0</w:t>
            </w:r>
          </w:p>
        </w:tc>
      </w:tr>
      <w:tr w14:paraId="7671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33" w:type="dxa"/>
            <w:vMerge w:val="continue"/>
            <w:noWrap w:val="0"/>
            <w:vAlign w:val="center"/>
          </w:tcPr>
          <w:p w14:paraId="21A38957">
            <w:pPr>
              <w:jc w:val="center"/>
              <w:rPr>
                <w:rFonts w:hint="eastAsia" w:ascii="宋体" w:hAnsi="宋体" w:cs="宋体"/>
                <w:color w:val="auto"/>
                <w:kern w:val="0"/>
                <w:sz w:val="24"/>
                <w:szCs w:val="24"/>
                <w:highlight w:val="none"/>
              </w:rPr>
            </w:pPr>
          </w:p>
        </w:tc>
        <w:tc>
          <w:tcPr>
            <w:tcW w:w="992" w:type="dxa"/>
            <w:vMerge w:val="continue"/>
            <w:noWrap w:val="0"/>
            <w:vAlign w:val="center"/>
          </w:tcPr>
          <w:p w14:paraId="224A7BF0">
            <w:pPr>
              <w:jc w:val="center"/>
              <w:rPr>
                <w:rFonts w:hint="eastAsia" w:ascii="宋体" w:hAnsi="宋体" w:cs="宋体"/>
                <w:color w:val="auto"/>
                <w:kern w:val="0"/>
                <w:sz w:val="24"/>
                <w:szCs w:val="24"/>
                <w:highlight w:val="none"/>
              </w:rPr>
            </w:pPr>
          </w:p>
        </w:tc>
        <w:tc>
          <w:tcPr>
            <w:tcW w:w="1502" w:type="dxa"/>
            <w:vMerge w:val="continue"/>
            <w:noWrap w:val="0"/>
            <w:vAlign w:val="center"/>
          </w:tcPr>
          <w:p w14:paraId="2EC960BD">
            <w:pPr>
              <w:ind w:right="113"/>
              <w:jc w:val="left"/>
              <w:rPr>
                <w:rFonts w:hint="eastAsia" w:ascii="宋体" w:hAnsi="宋体" w:eastAsia="宋体" w:cs="宋体"/>
                <w:color w:val="auto"/>
                <w:sz w:val="24"/>
                <w:szCs w:val="24"/>
                <w:highlight w:val="none"/>
              </w:rPr>
            </w:pPr>
          </w:p>
        </w:tc>
        <w:tc>
          <w:tcPr>
            <w:tcW w:w="4776" w:type="dxa"/>
            <w:noWrap w:val="0"/>
            <w:vAlign w:val="center"/>
          </w:tcPr>
          <w:p w14:paraId="5FDAFD2D">
            <w:pPr>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技术服务能力、维保能力一般，保养检测等售后服务一般</w:t>
            </w:r>
          </w:p>
        </w:tc>
        <w:tc>
          <w:tcPr>
            <w:tcW w:w="1068" w:type="dxa"/>
            <w:noWrap w:val="0"/>
            <w:vAlign w:val="center"/>
          </w:tcPr>
          <w:p w14:paraId="5826B7B7">
            <w:pPr>
              <w:pStyle w:val="20"/>
              <w:spacing w:before="240" w:after="120"/>
              <w:jc w:val="center"/>
              <w:rPr>
                <w:rFonts w:hint="eastAsia" w:ascii="宋体" w:hAnsi="宋体" w:eastAsia="宋体" w:cs="宋体"/>
                <w:color w:val="auto"/>
                <w:spacing w:val="12"/>
                <w:sz w:val="24"/>
                <w:szCs w:val="24"/>
                <w:highlight w:val="none"/>
                <w:lang w:eastAsia="zh-CN"/>
              </w:rPr>
            </w:pPr>
            <w:r>
              <w:rPr>
                <w:rFonts w:hint="eastAsia" w:cs="宋体"/>
                <w:bCs/>
                <w:color w:val="auto"/>
                <w:highlight w:val="none"/>
                <w:lang w:val="en-US" w:eastAsia="zh-CN"/>
              </w:rPr>
              <w:t>3</w:t>
            </w:r>
            <w:r>
              <w:rPr>
                <w:rFonts w:hint="eastAsia" w:cs="宋体"/>
                <w:bCs/>
                <w:color w:val="auto"/>
                <w:highlight w:val="none"/>
              </w:rPr>
              <w:t>.0</w:t>
            </w:r>
          </w:p>
        </w:tc>
      </w:tr>
      <w:tr w14:paraId="747D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33" w:type="dxa"/>
            <w:noWrap w:val="0"/>
            <w:vAlign w:val="center"/>
          </w:tcPr>
          <w:p w14:paraId="5A536B7B">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4</w:t>
            </w:r>
          </w:p>
          <w:p w14:paraId="06C930D2">
            <w:pPr>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w:t>
            </w:r>
          </w:p>
        </w:tc>
        <w:tc>
          <w:tcPr>
            <w:tcW w:w="992" w:type="dxa"/>
            <w:noWrap w:val="0"/>
            <w:vAlign w:val="center"/>
          </w:tcPr>
          <w:p w14:paraId="5CFC2EA3">
            <w:pPr>
              <w:jc w:val="center"/>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评标价</w:t>
            </w:r>
          </w:p>
          <w:p w14:paraId="008B6BD6">
            <w:pPr>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（50分）</w:t>
            </w:r>
          </w:p>
        </w:tc>
        <w:tc>
          <w:tcPr>
            <w:tcW w:w="7346" w:type="dxa"/>
            <w:gridSpan w:val="3"/>
            <w:noWrap w:val="0"/>
            <w:vAlign w:val="center"/>
          </w:tcPr>
          <w:p w14:paraId="4F88C57F">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27FF59F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(1)如果投标人评标价＞评标基准价，则评标价得分=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0-偏差率×100×E1；</w:t>
            </w:r>
          </w:p>
          <w:p w14:paraId="712C7C5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(2)如果投标人评标价≤评标基准价，则评标价得分=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0+偏差率×100×E2。</w:t>
            </w:r>
          </w:p>
          <w:p w14:paraId="42D8F52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381FCB6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E1是评标价每高于评标基准价一个百分点的扣分值，E1＝0.</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208E4E15">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E2是评标价每低于评标基准价一个百分点的扣分值，E2＝0.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15021DC5">
            <w:pP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评标价</w:t>
            </w:r>
            <w:r>
              <w:rPr>
                <w:rFonts w:hint="eastAsia" w:ascii="宋体" w:hAnsi="宋体" w:eastAsia="宋体" w:cs="宋体"/>
                <w:color w:val="auto"/>
                <w:sz w:val="24"/>
                <w:szCs w:val="24"/>
                <w:highlight w:val="none"/>
                <w:lang w:eastAsia="zh-CN"/>
              </w:rPr>
              <w:t>最低得分为0分。</w:t>
            </w:r>
            <w:r>
              <w:rPr>
                <w:rFonts w:hint="eastAsia" w:ascii="宋体" w:hAnsi="宋体" w:cs="宋体"/>
                <w:color w:val="auto"/>
                <w:kern w:val="0"/>
                <w:sz w:val="24"/>
                <w:szCs w:val="24"/>
                <w:highlight w:val="none"/>
                <w:lang w:val="en-US" w:eastAsia="zh-CN"/>
              </w:rPr>
              <w:t>评标价</w:t>
            </w:r>
            <w:r>
              <w:rPr>
                <w:rFonts w:hint="eastAsia" w:ascii="宋体" w:hAnsi="宋体" w:eastAsia="宋体" w:cs="宋体"/>
                <w:color w:val="auto"/>
                <w:sz w:val="24"/>
                <w:szCs w:val="24"/>
                <w:highlight w:val="none"/>
                <w:lang w:eastAsia="zh-CN"/>
              </w:rPr>
              <w:t>得分保留小数点后两位，小数点后第三位“四舍五入”。</w:t>
            </w:r>
          </w:p>
        </w:tc>
      </w:tr>
    </w:tbl>
    <w:p w14:paraId="02343CEC">
      <w:pPr>
        <w:adjustRightIn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注：</w:t>
      </w:r>
    </w:p>
    <w:p w14:paraId="1CA986DB">
      <w:pPr>
        <w:pStyle w:val="4"/>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1、打分保留1位小数</w:t>
      </w:r>
      <w:r>
        <w:rPr>
          <w:rFonts w:hint="eastAsia" w:hAnsi="宋体"/>
          <w:snapToGrid w:val="0"/>
          <w:color w:val="auto"/>
          <w:kern w:val="0"/>
          <w:sz w:val="24"/>
          <w:szCs w:val="24"/>
          <w:highlight w:val="none"/>
        </w:rPr>
        <w:t>，各评分因素得分以评标委员会各成员的打分平均值确定，保留两位小数，第三位四舍五入。</w:t>
      </w:r>
    </w:p>
    <w:p w14:paraId="15BDA45F">
      <w:r>
        <w:rPr>
          <w:rFonts w:hAnsi="宋体"/>
          <w:snapToGrid w:val="0"/>
          <w:color w:val="auto"/>
          <w:kern w:val="0"/>
          <w:sz w:val="24"/>
          <w:szCs w:val="24"/>
          <w:highlight w:val="none"/>
        </w:rPr>
        <w:t>2、</w:t>
      </w:r>
      <w:r>
        <w:rPr>
          <w:rFonts w:hint="eastAsia" w:hAnsi="宋体"/>
          <w:snapToGrid w:val="0"/>
          <w:color w:val="auto"/>
          <w:kern w:val="0"/>
          <w:sz w:val="24"/>
          <w:szCs w:val="24"/>
          <w:highlight w:val="none"/>
          <w:lang w:val="zh-CN"/>
        </w:rPr>
        <w:t>评标委员会成员对某一项评分因素的评分低于权重分值60%的，应在评标报告中作出说明。评审因素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缺项则该项得0分</w:t>
      </w:r>
      <w:r>
        <w:rPr>
          <w:rFonts w:hint="eastAsia" w:hAnsi="宋体"/>
          <w:snapToGrid w:val="0"/>
          <w:color w:val="auto"/>
          <w:kern w:val="0"/>
          <w:sz w:val="24"/>
          <w:szCs w:val="24"/>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2BDB59"/>
    <w:multiLevelType w:val="singleLevel"/>
    <w:tmpl w:val="512BDB59"/>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013D4F09"/>
    <w:rsid w:val="013D4F09"/>
    <w:rsid w:val="5CDB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3"/>
    <w:basedOn w:val="1"/>
    <w:next w:val="1"/>
    <w:qFormat/>
    <w:uiPriority w:val="9"/>
    <w:pPr>
      <w:keepNext/>
      <w:keepLines/>
      <w:spacing w:before="50" w:beforeLines="50" w:line="415" w:lineRule="auto"/>
      <w:outlineLvl w:val="2"/>
    </w:pPr>
    <w:rPr>
      <w:b/>
      <w:bCs/>
      <w:sz w:val="32"/>
      <w:szCs w:val="32"/>
    </w:rPr>
  </w:style>
  <w:style w:type="paragraph" w:styleId="7">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tabs>
        <w:tab w:val="left" w:pos="5580"/>
      </w:tabs>
      <w:ind w:left="420" w:leftChars="200" w:firstLine="420"/>
    </w:pPr>
    <w:rPr>
      <w:rFonts w:ascii="Times New Roman" w:hAnsi="Times New Roman"/>
      <w:sz w:val="21"/>
    </w:rPr>
  </w:style>
  <w:style w:type="paragraph" w:styleId="3">
    <w:name w:val="Body Text Indent"/>
    <w:basedOn w:val="1"/>
    <w:unhideWhenUsed/>
    <w:qFormat/>
    <w:uiPriority w:val="99"/>
    <w:pPr>
      <w:spacing w:after="120"/>
      <w:ind w:left="420" w:leftChars="200"/>
    </w:pPr>
  </w:style>
  <w:style w:type="paragraph" w:styleId="4">
    <w:name w:val="Plain Text"/>
    <w:basedOn w:val="1"/>
    <w:next w:val="5"/>
    <w:qFormat/>
    <w:uiPriority w:val="0"/>
    <w:rPr>
      <w:rFonts w:ascii="宋体" w:hAnsi="Courier New"/>
      <w:szCs w:val="20"/>
    </w:rPr>
  </w:style>
  <w:style w:type="paragraph" w:styleId="5">
    <w:name w:val="List Number 5"/>
    <w:basedOn w:val="1"/>
    <w:uiPriority w:val="0"/>
    <w:pPr>
      <w:numPr>
        <w:ilvl w:val="0"/>
        <w:numId w:val="1"/>
      </w:numPr>
    </w:pPr>
  </w:style>
  <w:style w:type="paragraph" w:styleId="8">
    <w:name w:val="toa heading"/>
    <w:basedOn w:val="1"/>
    <w:next w:val="1"/>
    <w:unhideWhenUsed/>
    <w:qFormat/>
    <w:uiPriority w:val="99"/>
    <w:pPr>
      <w:spacing w:before="120"/>
      <w:ind w:firstLine="560" w:firstLineChars="200"/>
    </w:pPr>
    <w:rPr>
      <w:rFonts w:ascii="Cambria" w:hAnsi="Cambria"/>
      <w:szCs w:val="24"/>
    </w:rPr>
  </w:style>
  <w:style w:type="paragraph" w:styleId="9">
    <w:name w:val="Body Text"/>
    <w:basedOn w:val="1"/>
    <w:next w:val="10"/>
    <w:qFormat/>
    <w:uiPriority w:val="1"/>
    <w:pPr>
      <w:ind w:left="100"/>
      <w:jc w:val="left"/>
    </w:pPr>
    <w:rPr>
      <w:rFonts w:ascii="宋体" w:hAnsi="宋体" w:cs="Times New Roman"/>
      <w:kern w:val="0"/>
      <w:szCs w:val="21"/>
      <w:lang w:eastAsia="en-US"/>
    </w:rPr>
  </w:style>
  <w:style w:type="paragraph" w:styleId="10">
    <w:name w:val="Body Text 2"/>
    <w:basedOn w:val="1"/>
    <w:next w:val="1"/>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14">
    <w:name w:val="1正文"/>
    <w:basedOn w:val="1"/>
    <w:qFormat/>
    <w:uiPriority w:val="0"/>
    <w:pPr>
      <w:ind w:firstLine="480"/>
    </w:pPr>
    <w:rPr>
      <w:rFonts w:cs="宋体"/>
      <w:szCs w:val="24"/>
    </w:rPr>
  </w:style>
  <w:style w:type="paragraph" w:customStyle="1" w:styleId="15">
    <w:name w:val="目录3"/>
    <w:basedOn w:val="1"/>
    <w:qFormat/>
    <w:uiPriority w:val="0"/>
    <w:pPr>
      <w:adjustRightInd w:val="0"/>
      <w:spacing w:line="420" w:lineRule="atLeast"/>
      <w:ind w:left="454"/>
      <w:jc w:val="both"/>
      <w:textAlignment w:val="baseline"/>
    </w:pPr>
    <w:rPr>
      <w:rFonts w:ascii="Times New Roman" w:hAnsi="Times New Roman" w:eastAsia="宋体" w:cs="Times New Roman"/>
      <w:sz w:val="21"/>
      <w:szCs w:val="20"/>
      <w:lang w:eastAsia="zh-CN"/>
    </w:rPr>
  </w:style>
  <w:style w:type="paragraph" w:customStyle="1" w:styleId="16">
    <w:name w:val="大标题"/>
    <w:basedOn w:val="1"/>
    <w:next w:val="2"/>
    <w:qFormat/>
    <w:uiPriority w:val="0"/>
    <w:pPr>
      <w:jc w:val="center"/>
    </w:pPr>
    <w:rPr>
      <w:rFonts w:ascii="Arial" w:hAnsi="Arial"/>
      <w:b/>
      <w:sz w:val="28"/>
    </w:rPr>
  </w:style>
  <w:style w:type="character" w:customStyle="1" w:styleId="17">
    <w:name w:val="NormalCharacter"/>
    <w:link w:val="18"/>
    <w:qFormat/>
    <w:uiPriority w:val="0"/>
    <w:rPr>
      <w:kern w:val="0"/>
      <w:sz w:val="20"/>
      <w:szCs w:val="20"/>
    </w:rPr>
  </w:style>
  <w:style w:type="paragraph" w:customStyle="1" w:styleId="18">
    <w:name w:val="UserStyle_24"/>
    <w:basedOn w:val="1"/>
    <w:link w:val="17"/>
    <w:qFormat/>
    <w:uiPriority w:val="0"/>
    <w:pPr>
      <w:widowControl/>
      <w:spacing w:line="360" w:lineRule="auto"/>
      <w:ind w:firstLine="200" w:firstLineChars="200"/>
      <w:jc w:val="left"/>
    </w:pPr>
    <w:rPr>
      <w:kern w:val="0"/>
      <w:sz w:val="20"/>
      <w:szCs w:val="20"/>
    </w:rPr>
  </w:style>
  <w:style w:type="paragraph" w:customStyle="1" w:styleId="19">
    <w:name w:val="目录1"/>
    <w:basedOn w:val="1"/>
    <w:qFormat/>
    <w:uiPriority w:val="99"/>
    <w:pPr>
      <w:adjustRightInd w:val="0"/>
      <w:spacing w:line="420" w:lineRule="atLeast"/>
      <w:textAlignment w:val="baseline"/>
      <w:outlineLvl w:val="0"/>
    </w:pPr>
    <w:rPr>
      <w:rFonts w:ascii="宋体" w:hAnsi="宋体" w:eastAsia="宋体" w:cs="宋体"/>
      <w:b/>
      <w:bCs/>
      <w:sz w:val="28"/>
      <w:szCs w:val="28"/>
      <w:lang w:eastAsia="zh-CN"/>
    </w:rPr>
  </w:style>
  <w:style w:type="paragraph" w:styleId="20">
    <w:name w:val="No Spacing"/>
    <w:qFormat/>
    <w:uiPriority w:val="0"/>
    <w:pPr>
      <w:widowControl w:val="0"/>
      <w:jc w:val="both"/>
    </w:pPr>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4931</Words>
  <Characters>5499</Characters>
  <Lines>0</Lines>
  <Paragraphs>0</Paragraphs>
  <TotalTime>0</TotalTime>
  <ScaleCrop>false</ScaleCrop>
  <LinksUpToDate>false</LinksUpToDate>
  <CharactersWithSpaces>5614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2025-11-20T01:26:00Z</dcterms:created>
  <dc:creator>Administrator</dc:creator>
  <cp:lastModifiedBy>冯士峰</cp:lastModifiedBy>
  <dcterms:modified xsi:type="dcterms:W3CDTF">2025-11-20T06:20:50Z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23A2CD36DF13444585B6DFBEBFD448A1_11</vt:lpwstr>
  </property>
  <property fmtid="{D5CDD505-2E9C-101B-9397-08002B2CF9AE}" pid="4" name="KSOTemplateDocerSaveRecord">
    <vt:lpwstr>eyJoZGlkIjoiMjNhMGNiNzBmYzRmYmU1YWU1ZDVjYzI3MTI0YTIzZjQiLCJ1c2VySWQiOiIxNjg3ODQzOTczIn0=</vt:lpwstr>
  </property>
</Properties>
</file>