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29C2C">
      <w:pPr>
        <w:pStyle w:val="3"/>
        <w:numPr>
          <w:numId w:val="0"/>
        </w:numPr>
        <w:spacing w:before="0" w:after="0" w:line="360" w:lineRule="auto"/>
        <w:ind w:leftChars="0"/>
        <w:rPr>
          <w:rFonts w:hint="eastAsia" w:ascii="宋体" w:hAnsi="宋体"/>
          <w:b w:val="0"/>
          <w:color w:val="000000" w:themeColor="text1"/>
          <w:sz w:val="24"/>
          <w:highlight w:val="none"/>
          <w14:textFill>
            <w14:solidFill>
              <w14:schemeClr w14:val="tx1"/>
            </w14:solidFill>
          </w14:textFill>
        </w:rPr>
      </w:pPr>
      <w:bookmarkStart w:id="0" w:name="_Toc2316"/>
      <w:bookmarkStart w:id="1" w:name="_Toc247"/>
      <w:bookmarkStart w:id="2" w:name="_Toc164101095"/>
      <w:bookmarkStart w:id="3" w:name="_Toc144837284"/>
      <w:bookmarkStart w:id="4" w:name="_Toc144838350"/>
      <w:bookmarkStart w:id="5" w:name="_Toc134792338"/>
      <w:bookmarkStart w:id="6" w:name="_Toc13232"/>
      <w:r>
        <w:rPr>
          <w:rFonts w:hint="eastAsia" w:ascii="黑体" w:hAnsi="黑体" w:eastAsia="黑体"/>
          <w:color w:val="000000" w:themeColor="text1"/>
          <w:sz w:val="28"/>
          <w:szCs w:val="28"/>
          <w:highlight w:val="none"/>
          <w14:textFill>
            <w14:solidFill>
              <w14:schemeClr w14:val="tx1"/>
            </w14:solidFill>
          </w14:textFill>
        </w:rPr>
        <w:t>附件1：资格审查条件</w:t>
      </w:r>
      <w:bookmarkEnd w:id="0"/>
      <w:bookmarkEnd w:id="1"/>
      <w:bookmarkEnd w:id="2"/>
      <w:bookmarkEnd w:id="3"/>
      <w:bookmarkEnd w:id="4"/>
      <w:bookmarkEnd w:id="5"/>
      <w:bookmarkEnd w:id="6"/>
    </w:p>
    <w:p w14:paraId="455DF61D">
      <w:pPr>
        <w:adjustRightInd w:val="0"/>
        <w:spacing w:line="4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附录1</w:t>
      </w:r>
      <w:r>
        <w:rPr>
          <w:rFonts w:hint="eastAsia" w:ascii="宋体" w:hAnsi="宋体"/>
          <w:b/>
          <w:color w:val="000000" w:themeColor="text1"/>
          <w:sz w:val="24"/>
          <w:highlight w:val="none"/>
          <w14:textFill>
            <w14:solidFill>
              <w14:schemeClr w14:val="tx1"/>
            </w14:solidFill>
          </w14:textFill>
        </w:rPr>
        <w:t>资格</w:t>
      </w:r>
      <w:r>
        <w:rPr>
          <w:rFonts w:hint="eastAsia" w:ascii="宋体" w:hAnsi="宋体"/>
          <w:b/>
          <w:color w:val="000000" w:themeColor="text1"/>
          <w:sz w:val="24"/>
          <w:szCs w:val="24"/>
          <w:highlight w:val="none"/>
          <w14:textFill>
            <w14:solidFill>
              <w14:schemeClr w14:val="tx1"/>
            </w14:solidFill>
          </w14:textFill>
        </w:rPr>
        <w:t>审查条件（资质最低要求）</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5A648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vAlign w:val="bottom"/>
          </w:tcPr>
          <w:p w14:paraId="40B77DDE">
            <w:pPr>
              <w:pStyle w:val="7"/>
              <w:spacing w:before="0" w:beforeAutospacing="0" w:after="0" w:afterAutospacing="0" w:line="360" w:lineRule="auto"/>
              <w:ind w:firstLine="0"/>
              <w:contextualSpacing/>
              <w:jc w:val="center"/>
              <w:rPr>
                <w:rFonts w:hint="eastAsia" w:cs="宋体"/>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t>施工企业资质等级要求</w:t>
            </w:r>
          </w:p>
        </w:tc>
      </w:tr>
      <w:tr w14:paraId="726CC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jc w:val="center"/>
        </w:trPr>
        <w:tc>
          <w:tcPr>
            <w:tcW w:w="9286" w:type="dxa"/>
            <w:vAlign w:val="center"/>
          </w:tcPr>
          <w:p w14:paraId="580A198C">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1、具有独立企业法人资格，持有有效的企业营业执照。</w:t>
            </w:r>
          </w:p>
          <w:p w14:paraId="1682E7C1">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bookmarkStart w:id="7" w:name="_Hlk206767890"/>
            <w:r>
              <w:rPr>
                <w:rFonts w:hint="eastAsia" w:ascii="宋体" w:hAnsi="宋体" w:eastAsia="宋体" w:cs="宋体"/>
                <w:bCs/>
                <w:sz w:val="21"/>
                <w:szCs w:val="21"/>
                <w:highlight w:val="none"/>
              </w:rPr>
              <w:t>具有住房和城乡建设主管部门颁发的公路交通工程专业承包（公路机电工程分项）一级资质。</w:t>
            </w:r>
          </w:p>
          <w:bookmarkEnd w:id="7"/>
          <w:p w14:paraId="66508973">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eastAsia="宋体" w:cs="宋体"/>
                <w:bCs/>
                <w:sz w:val="21"/>
                <w:szCs w:val="21"/>
                <w:highlight w:val="none"/>
              </w:rPr>
              <w:t>3、具有住房和城乡建设主管部门颁发的有效的安全生产许可证。</w:t>
            </w:r>
          </w:p>
        </w:tc>
      </w:tr>
    </w:tbl>
    <w:p w14:paraId="530BD8BC">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08868A21">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2C6DC1B2">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附录2 资格审查条件（财务最低要求）</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6"/>
      </w:tblGrid>
      <w:tr w14:paraId="3DE4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5000" w:type="pct"/>
            <w:vAlign w:val="center"/>
          </w:tcPr>
          <w:p w14:paraId="09AC9BDD">
            <w:pPr>
              <w:spacing w:before="120" w:beforeLines="50" w:after="120" w:afterLines="50"/>
              <w:jc w:val="center"/>
              <w:rPr>
                <w:rFonts w:hint="eastAsia" w:ascii="宋体" w:hAnsi="宋体"/>
                <w:b/>
                <w:bCs/>
                <w:color w:val="000000" w:themeColor="text1"/>
                <w:kern w:val="2"/>
                <w:sz w:val="21"/>
                <w:szCs w:val="21"/>
                <w:highlight w:val="none"/>
                <w14:textFill>
                  <w14:solidFill>
                    <w14:schemeClr w14:val="tx1"/>
                  </w14:solidFill>
                </w14:textFill>
              </w:rPr>
            </w:pPr>
            <w:r>
              <w:rPr>
                <w:rFonts w:hint="eastAsia" w:ascii="宋体" w:hAnsi="宋体"/>
                <w:b/>
                <w:bCs/>
                <w:color w:val="000000" w:themeColor="text1"/>
                <w:kern w:val="2"/>
                <w:sz w:val="21"/>
                <w:szCs w:val="21"/>
                <w:highlight w:val="none"/>
                <w14:textFill>
                  <w14:solidFill>
                    <w14:schemeClr w14:val="tx1"/>
                  </w14:solidFill>
                </w14:textFill>
              </w:rPr>
              <w:t>财务要求</w:t>
            </w:r>
          </w:p>
        </w:tc>
      </w:tr>
      <w:tr w14:paraId="6534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5000" w:type="pct"/>
            <w:vAlign w:val="center"/>
          </w:tcPr>
          <w:p w14:paraId="7547F94F">
            <w:pPr>
              <w:snapToGrid w:val="0"/>
              <w:spacing w:line="320" w:lineRule="exact"/>
              <w:ind w:firstLine="420" w:firstLineChars="200"/>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投标人承诺为本合同所提供的营运资金(以经会计事务所或审计机构审计的财务报表(2024年度)中：营运资金=流动资产-流动负债，以年末数计算)以及为本项目而专门开具的银行信贷证明总和不得少于</w:t>
            </w:r>
            <w:r>
              <w:rPr>
                <w:rFonts w:hint="eastAsia" w:ascii="宋体" w:hAnsi="宋体"/>
                <w:color w:val="000000" w:themeColor="text1"/>
                <w:kern w:val="2"/>
                <w:sz w:val="21"/>
                <w:szCs w:val="24"/>
                <w:highlight w:val="none"/>
                <w:lang w:val="en-US" w:eastAsia="zh-CN"/>
                <w14:textFill>
                  <w14:solidFill>
                    <w14:schemeClr w14:val="tx1"/>
                  </w14:solidFill>
                </w14:textFill>
              </w:rPr>
              <w:t>5</w:t>
            </w:r>
            <w:r>
              <w:rPr>
                <w:rFonts w:hint="eastAsia" w:ascii="宋体" w:hAnsi="宋体"/>
                <w:color w:val="000000" w:themeColor="text1"/>
                <w:kern w:val="2"/>
                <w:sz w:val="21"/>
                <w:szCs w:val="24"/>
                <w:highlight w:val="none"/>
                <w14:textFill>
                  <w14:solidFill>
                    <w14:schemeClr w14:val="tx1"/>
                  </w14:solidFill>
                </w14:textFill>
              </w:rPr>
              <w:t>0万元。</w:t>
            </w:r>
          </w:p>
        </w:tc>
      </w:tr>
    </w:tbl>
    <w:p w14:paraId="2098E287">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243726B8">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72D513DE">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w:t>
      </w:r>
      <w:r>
        <w:rPr>
          <w:rFonts w:ascii="宋体" w:hAnsi="宋体"/>
          <w:b/>
          <w:color w:val="000000" w:themeColor="text1"/>
          <w:kern w:val="2"/>
          <w:sz w:val="24"/>
          <w:szCs w:val="24"/>
          <w:highlight w:val="none"/>
          <w14:textFill>
            <w14:solidFill>
              <w14:schemeClr w14:val="tx1"/>
            </w14:solidFill>
          </w14:textFill>
        </w:rPr>
        <w:t xml:space="preserve">3 </w:t>
      </w:r>
      <w:r>
        <w:rPr>
          <w:rFonts w:hint="eastAsia" w:ascii="宋体" w:hAnsi="宋体"/>
          <w:b/>
          <w:color w:val="000000" w:themeColor="text1"/>
          <w:kern w:val="2"/>
          <w:sz w:val="24"/>
          <w:szCs w:val="24"/>
          <w:highlight w:val="none"/>
          <w14:textFill>
            <w14:solidFill>
              <w14:schemeClr w14:val="tx1"/>
            </w14:solidFill>
          </w14:textFill>
        </w:rPr>
        <w:t>资格审查条件（业绩最低要求）</w:t>
      </w:r>
    </w:p>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7CA98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14:paraId="7368203C">
            <w:pPr>
              <w:spacing w:before="120" w:beforeLines="50" w:after="120" w:afterLines="50"/>
              <w:jc w:val="center"/>
              <w:rPr>
                <w:rFonts w:hint="eastAsia" w:ascii="宋体" w:hAnsi="宋体"/>
                <w:b/>
                <w:bCs/>
                <w:color w:val="000000" w:themeColor="text1"/>
                <w:kern w:val="2"/>
                <w:sz w:val="21"/>
                <w:szCs w:val="24"/>
                <w:highlight w:val="none"/>
                <w14:textFill>
                  <w14:solidFill>
                    <w14:schemeClr w14:val="tx1"/>
                  </w14:solidFill>
                </w14:textFill>
              </w:rPr>
            </w:pPr>
            <w:r>
              <w:rPr>
                <w:rFonts w:hint="eastAsia" w:ascii="宋体" w:hAnsi="宋体"/>
                <w:b/>
                <w:bCs/>
                <w:color w:val="000000" w:themeColor="text1"/>
                <w:kern w:val="2"/>
                <w:sz w:val="21"/>
                <w:szCs w:val="24"/>
                <w:highlight w:val="none"/>
                <w14:textFill>
                  <w14:solidFill>
                    <w14:schemeClr w14:val="tx1"/>
                  </w14:solidFill>
                </w14:textFill>
              </w:rPr>
              <w:t>业绩要求</w:t>
            </w:r>
          </w:p>
        </w:tc>
      </w:tr>
      <w:tr w14:paraId="56F4B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88" w:hRule="atLeast"/>
        </w:trPr>
        <w:tc>
          <w:tcPr>
            <w:tcW w:w="5000" w:type="pct"/>
            <w:tcBorders>
              <w:top w:val="single" w:color="auto" w:sz="4" w:space="0"/>
              <w:left w:val="single" w:color="auto" w:sz="4" w:space="0"/>
              <w:bottom w:val="single" w:color="auto" w:sz="4" w:space="0"/>
              <w:right w:val="single" w:color="auto" w:sz="4" w:space="0"/>
            </w:tcBorders>
            <w:vAlign w:val="center"/>
          </w:tcPr>
          <w:p w14:paraId="4A9777C4">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highlight w:val="none"/>
              </w:rPr>
            </w:pPr>
            <w:r>
              <w:rPr>
                <w:rFonts w:hint="eastAsia" w:ascii="宋体" w:hAnsi="宋体"/>
                <w:color w:val="000000" w:themeColor="text1"/>
                <w:kern w:val="2"/>
                <w:sz w:val="21"/>
                <w:szCs w:val="24"/>
                <w:highlight w:val="none"/>
                <w14:textFill>
                  <w14:solidFill>
                    <w14:schemeClr w14:val="tx1"/>
                  </w14:solidFill>
                </w14:textFill>
              </w:rPr>
              <w:t>近</w:t>
            </w:r>
            <w:r>
              <w:rPr>
                <w:rFonts w:hint="eastAsia" w:ascii="宋体" w:hAnsi="宋体"/>
                <w:color w:val="000000" w:themeColor="text1"/>
                <w:kern w:val="2"/>
                <w:sz w:val="21"/>
                <w:szCs w:val="24"/>
                <w:highlight w:val="none"/>
                <w:lang w:val="en-US" w:eastAsia="zh-CN"/>
                <w14:textFill>
                  <w14:solidFill>
                    <w14:schemeClr w14:val="tx1"/>
                  </w14:solidFill>
                </w14:textFill>
              </w:rPr>
              <w:t>5</w:t>
            </w:r>
            <w:r>
              <w:rPr>
                <w:rFonts w:hint="eastAsia" w:ascii="宋体" w:hAnsi="宋体"/>
                <w:color w:val="000000" w:themeColor="text1"/>
                <w:kern w:val="2"/>
                <w:sz w:val="21"/>
                <w:szCs w:val="24"/>
                <w:highlight w:val="none"/>
                <w14:textFill>
                  <w14:solidFill>
                    <w14:schemeClr w14:val="tx1"/>
                  </w14:solidFill>
                </w14:textFill>
              </w:rPr>
              <w:t>年（202</w:t>
            </w:r>
            <w:r>
              <w:rPr>
                <w:rFonts w:hint="eastAsia" w:ascii="宋体" w:hAnsi="宋体"/>
                <w:color w:val="000000" w:themeColor="text1"/>
                <w:kern w:val="2"/>
                <w:sz w:val="21"/>
                <w:szCs w:val="24"/>
                <w:highlight w:val="none"/>
                <w:lang w:val="en-US" w:eastAsia="zh-CN"/>
                <w14:textFill>
                  <w14:solidFill>
                    <w14:schemeClr w14:val="tx1"/>
                  </w14:solidFill>
                </w14:textFill>
              </w:rPr>
              <w:t>0</w:t>
            </w:r>
            <w:r>
              <w:rPr>
                <w:rFonts w:hint="eastAsia" w:ascii="宋体" w:hAnsi="宋体"/>
                <w:color w:val="000000" w:themeColor="text1"/>
                <w:kern w:val="2"/>
                <w:sz w:val="21"/>
                <w:szCs w:val="24"/>
                <w:highlight w:val="none"/>
                <w14:textFill>
                  <w14:solidFill>
                    <w14:schemeClr w14:val="tx1"/>
                  </w14:solidFill>
                </w14:textFill>
              </w:rPr>
              <w:t>年</w:t>
            </w:r>
            <w:r>
              <w:rPr>
                <w:rFonts w:hint="eastAsia" w:ascii="宋体" w:hAnsi="宋体"/>
                <w:color w:val="000000" w:themeColor="text1"/>
                <w:kern w:val="2"/>
                <w:sz w:val="21"/>
                <w:szCs w:val="24"/>
                <w:highlight w:val="none"/>
                <w:lang w:val="en-US" w:eastAsia="zh-CN"/>
                <w14:textFill>
                  <w14:solidFill>
                    <w14:schemeClr w14:val="tx1"/>
                  </w14:solidFill>
                </w14:textFill>
              </w:rPr>
              <w:t>11月</w:t>
            </w:r>
            <w:r>
              <w:rPr>
                <w:rFonts w:hint="eastAsia" w:ascii="宋体" w:hAnsi="宋体"/>
                <w:color w:val="000000" w:themeColor="text1"/>
                <w:kern w:val="2"/>
                <w:sz w:val="21"/>
                <w:szCs w:val="24"/>
                <w:highlight w:val="none"/>
                <w14:textFill>
                  <w14:solidFill>
                    <w14:schemeClr w14:val="tx1"/>
                  </w14:solidFill>
                </w14:textFill>
              </w:rPr>
              <w:t>1日至投标截止时间，以交工时间为准）至少完成过1</w:t>
            </w:r>
            <w:r>
              <w:rPr>
                <w:rFonts w:hint="eastAsia" w:ascii="宋体" w:hAnsi="宋体"/>
                <w:color w:val="000000" w:themeColor="text1"/>
                <w:kern w:val="0"/>
                <w:sz w:val="21"/>
                <w:szCs w:val="21"/>
                <w:highlight w:val="none"/>
                <w14:textFill>
                  <w14:solidFill>
                    <w14:schemeClr w14:val="tx1"/>
                  </w14:solidFill>
                </w14:textFill>
              </w:rPr>
              <w:t>项合同金额不少于</w:t>
            </w:r>
            <w:r>
              <w:rPr>
                <w:rFonts w:hint="eastAsia" w:ascii="宋体" w:hAnsi="宋体"/>
                <w:color w:val="000000" w:themeColor="text1"/>
                <w:kern w:val="0"/>
                <w:sz w:val="21"/>
                <w:szCs w:val="21"/>
                <w:highlight w:val="none"/>
                <w:lang w:val="en-US" w:eastAsia="zh-CN"/>
                <w14:textFill>
                  <w14:solidFill>
                    <w14:schemeClr w14:val="tx1"/>
                  </w14:solidFill>
                </w14:textFill>
              </w:rPr>
              <w:t>1</w:t>
            </w:r>
            <w:r>
              <w:rPr>
                <w:rFonts w:hint="eastAsia" w:ascii="宋体" w:hAnsi="宋体"/>
                <w:color w:val="000000" w:themeColor="text1"/>
                <w:kern w:val="0"/>
                <w:sz w:val="21"/>
                <w:szCs w:val="21"/>
                <w:highlight w:val="none"/>
                <w14:textFill>
                  <w14:solidFill>
                    <w14:schemeClr w14:val="tx1"/>
                  </w14:solidFill>
                </w14:textFill>
              </w:rPr>
              <w:t>00万元的高速公路机电工程（</w:t>
            </w:r>
            <w:r>
              <w:rPr>
                <w:rFonts w:hint="eastAsia" w:ascii="宋体" w:hAnsi="宋体"/>
                <w:color w:val="000000" w:themeColor="text1"/>
                <w:kern w:val="0"/>
                <w:sz w:val="21"/>
                <w:szCs w:val="21"/>
                <w:highlight w:val="none"/>
                <w:lang w:val="en-US" w:eastAsia="zh-CN"/>
                <w14:textFill>
                  <w14:solidFill>
                    <w14:schemeClr w14:val="tx1"/>
                  </w14:solidFill>
                </w14:textFill>
              </w:rPr>
              <w:t>须</w:t>
            </w:r>
            <w:r>
              <w:rPr>
                <w:rFonts w:hint="eastAsia" w:ascii="宋体" w:hAnsi="宋体"/>
                <w:color w:val="000000" w:themeColor="text1"/>
                <w:kern w:val="0"/>
                <w:sz w:val="21"/>
                <w:szCs w:val="21"/>
                <w:highlight w:val="none"/>
                <w14:textFill>
                  <w14:solidFill>
                    <w14:schemeClr w14:val="tx1"/>
                  </w14:solidFill>
                </w14:textFill>
              </w:rPr>
              <w:t>包含收费系统）施工</w:t>
            </w:r>
            <w:r>
              <w:rPr>
                <w:rFonts w:hint="eastAsia" w:ascii="宋体" w:hAnsi="宋体"/>
                <w:color w:val="000000" w:themeColor="text1"/>
                <w:kern w:val="0"/>
                <w:sz w:val="21"/>
                <w:szCs w:val="21"/>
                <w:highlight w:val="none"/>
                <w:lang w:val="en-US" w:eastAsia="zh-CN"/>
                <w14:textFill>
                  <w14:solidFill>
                    <w14:schemeClr w14:val="tx1"/>
                  </w14:solidFill>
                </w14:textFill>
              </w:rPr>
              <w:t>业绩</w:t>
            </w:r>
            <w:r>
              <w:rPr>
                <w:rFonts w:hint="eastAsia" w:ascii="宋体" w:hAnsi="宋体"/>
                <w:color w:val="000000" w:themeColor="text1"/>
                <w:kern w:val="0"/>
                <w:sz w:val="21"/>
                <w:szCs w:val="21"/>
                <w:highlight w:val="none"/>
                <w14:textFill>
                  <w14:solidFill>
                    <w14:schemeClr w14:val="tx1"/>
                  </w14:solidFill>
                </w14:textFill>
              </w:rPr>
              <w:t>。</w:t>
            </w:r>
          </w:p>
        </w:tc>
      </w:tr>
    </w:tbl>
    <w:p w14:paraId="052BB53F">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78D4DD6B">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193F402B">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附录4 资格审查条件（信誉最低要求）</w:t>
      </w:r>
    </w:p>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0F942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5" w:hRule="atLeast"/>
        </w:trPr>
        <w:tc>
          <w:tcPr>
            <w:tcW w:w="5000" w:type="pct"/>
            <w:tcBorders>
              <w:top w:val="single" w:color="auto" w:sz="4" w:space="0"/>
              <w:left w:val="single" w:color="auto" w:sz="4" w:space="0"/>
              <w:bottom w:val="single" w:color="auto" w:sz="4" w:space="0"/>
              <w:right w:val="single" w:color="auto" w:sz="4" w:space="0"/>
            </w:tcBorders>
            <w:vAlign w:val="center"/>
          </w:tcPr>
          <w:p w14:paraId="2A8D737C">
            <w:pPr>
              <w:jc w:val="center"/>
              <w:rPr>
                <w:rFonts w:hint="eastAsia" w:ascii="宋体" w:hAnsi="宋体"/>
                <w:b/>
                <w:bCs/>
                <w:color w:val="000000" w:themeColor="text1"/>
                <w:kern w:val="2"/>
                <w:sz w:val="21"/>
                <w:szCs w:val="21"/>
                <w:highlight w:val="none"/>
                <w14:textFill>
                  <w14:solidFill>
                    <w14:schemeClr w14:val="tx1"/>
                  </w14:solidFill>
                </w14:textFill>
              </w:rPr>
            </w:pPr>
            <w:r>
              <w:rPr>
                <w:rFonts w:hint="eastAsia" w:ascii="宋体" w:hAnsi="宋体"/>
                <w:b/>
                <w:bCs/>
                <w:color w:val="000000" w:themeColor="text1"/>
                <w:kern w:val="2"/>
                <w:sz w:val="21"/>
                <w:szCs w:val="21"/>
                <w:highlight w:val="none"/>
                <w14:textFill>
                  <w14:solidFill>
                    <w14:schemeClr w14:val="tx1"/>
                  </w14:solidFill>
                </w14:textFill>
              </w:rPr>
              <w:t>信誉要求</w:t>
            </w:r>
          </w:p>
        </w:tc>
      </w:tr>
      <w:tr w14:paraId="1AC2E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5000" w:type="pct"/>
            <w:vMerge w:val="restart"/>
            <w:tcBorders>
              <w:top w:val="single" w:color="auto" w:sz="4" w:space="0"/>
              <w:left w:val="single" w:color="auto" w:sz="4" w:space="0"/>
              <w:right w:val="single" w:color="auto" w:sz="4" w:space="0"/>
            </w:tcBorders>
            <w:vAlign w:val="center"/>
          </w:tcPr>
          <w:p w14:paraId="41F2CD83">
            <w:pPr>
              <w:snapToGrid w:val="0"/>
              <w:spacing w:line="320" w:lineRule="exact"/>
              <w:ind w:firstLine="420" w:firstLineChars="200"/>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投标人在近一年（20</w:t>
            </w: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4年</w:t>
            </w:r>
            <w:r>
              <w:rPr>
                <w:rFonts w:hint="eastAsia" w:ascii="宋体" w:hAnsi="宋体"/>
                <w:color w:val="000000" w:themeColor="text1"/>
                <w:sz w:val="21"/>
                <w:szCs w:val="21"/>
                <w:highlight w:val="none"/>
                <w:lang w:val="en-US" w:eastAsia="zh-CN"/>
                <w14:textFill>
                  <w14:solidFill>
                    <w14:schemeClr w14:val="tx1"/>
                  </w14:solidFill>
                </w14:textFill>
              </w:rPr>
              <w:t>11月</w:t>
            </w:r>
            <w:r>
              <w:rPr>
                <w:rFonts w:ascii="宋体" w:hAnsi="宋体"/>
                <w:color w:val="000000" w:themeColor="text1"/>
                <w:sz w:val="21"/>
                <w:szCs w:val="21"/>
                <w:highlight w:val="none"/>
                <w14:textFill>
                  <w14:solidFill>
                    <w14:schemeClr w14:val="tx1"/>
                  </w14:solidFill>
                </w14:textFill>
              </w:rPr>
              <w:t>1日</w:t>
            </w:r>
            <w:r>
              <w:rPr>
                <w:rFonts w:hint="eastAsia" w:ascii="宋体" w:hAnsi="宋体"/>
                <w:color w:val="000000" w:themeColor="text1"/>
                <w:sz w:val="21"/>
                <w:szCs w:val="21"/>
                <w:highlight w:val="none"/>
                <w14:textFill>
                  <w14:solidFill>
                    <w14:schemeClr w14:val="tx1"/>
                  </w14:solidFill>
                </w14:textFill>
              </w:rPr>
              <w:t>至投标截止时间）不曾在高速公路</w:t>
            </w:r>
            <w:r>
              <w:rPr>
                <w:rFonts w:hint="eastAsia" w:ascii="宋体" w:hAnsi="宋体"/>
                <w:color w:val="000000" w:themeColor="text1"/>
                <w:kern w:val="0"/>
                <w:sz w:val="21"/>
                <w:szCs w:val="21"/>
                <w:highlight w:val="none"/>
                <w14:textFill>
                  <w14:solidFill>
                    <w14:schemeClr w14:val="tx1"/>
                  </w14:solidFill>
                </w14:textFill>
              </w:rPr>
              <w:t>机电</w:t>
            </w:r>
            <w:r>
              <w:rPr>
                <w:rFonts w:hint="eastAsia" w:ascii="宋体" w:hAnsi="宋体"/>
                <w:color w:val="000000" w:themeColor="text1"/>
                <w:sz w:val="21"/>
                <w:szCs w:val="21"/>
                <w:highlight w:val="none"/>
                <w14:textFill>
                  <w14:solidFill>
                    <w14:schemeClr w14:val="tx1"/>
                  </w14:solidFill>
                </w14:textFill>
              </w:rPr>
              <w:t>工程施工</w:t>
            </w:r>
            <w:r>
              <w:rPr>
                <w:rFonts w:hint="eastAsia" w:ascii="宋体" w:hAnsi="宋体"/>
                <w:color w:val="000000" w:themeColor="text1"/>
                <w:sz w:val="21"/>
                <w:szCs w:val="21"/>
                <w:highlight w:val="none"/>
                <w:lang w:val="en-US" w:eastAsia="zh-CN"/>
                <w14:textFill>
                  <w14:solidFill>
                    <w14:schemeClr w14:val="tx1"/>
                  </w14:solidFill>
                </w14:textFill>
              </w:rPr>
              <w:t>合同</w:t>
            </w:r>
            <w:r>
              <w:rPr>
                <w:rFonts w:hint="eastAsia" w:ascii="宋体" w:hAnsi="宋体"/>
                <w:color w:val="000000" w:themeColor="text1"/>
                <w:sz w:val="21"/>
                <w:szCs w:val="21"/>
                <w:highlight w:val="none"/>
                <w14:textFill>
                  <w14:solidFill>
                    <w14:schemeClr w14:val="tx1"/>
                  </w14:solidFill>
                </w14:textFill>
              </w:rPr>
              <w:t>中违约被逐或因投标人自身的原因而使高速公路</w:t>
            </w:r>
            <w:r>
              <w:rPr>
                <w:rFonts w:hint="eastAsia" w:ascii="宋体" w:hAnsi="宋体"/>
                <w:color w:val="000000" w:themeColor="text1"/>
                <w:kern w:val="0"/>
                <w:sz w:val="21"/>
                <w:szCs w:val="21"/>
                <w:highlight w:val="none"/>
                <w14:textFill>
                  <w14:solidFill>
                    <w14:schemeClr w14:val="tx1"/>
                  </w14:solidFill>
                </w14:textFill>
              </w:rPr>
              <w:t>机电</w:t>
            </w:r>
            <w:r>
              <w:rPr>
                <w:rFonts w:hint="eastAsia" w:ascii="宋体" w:hAnsi="宋体"/>
                <w:color w:val="000000" w:themeColor="text1"/>
                <w:sz w:val="21"/>
                <w:szCs w:val="21"/>
                <w:highlight w:val="none"/>
                <w14:textFill>
                  <w14:solidFill>
                    <w14:schemeClr w14:val="tx1"/>
                  </w14:solidFill>
                </w14:textFill>
              </w:rPr>
              <w:t>工程施工合同被解除。</w:t>
            </w:r>
          </w:p>
        </w:tc>
      </w:tr>
      <w:tr w14:paraId="75311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5000" w:type="pct"/>
            <w:vMerge w:val="continue"/>
            <w:tcBorders>
              <w:left w:val="single" w:color="auto" w:sz="4" w:space="0"/>
              <w:bottom w:val="single" w:color="auto" w:sz="4" w:space="0"/>
              <w:right w:val="single" w:color="auto" w:sz="4" w:space="0"/>
            </w:tcBorders>
            <w:vAlign w:val="center"/>
          </w:tcPr>
          <w:p w14:paraId="41B26DF5">
            <w:pPr>
              <w:spacing w:line="240" w:lineRule="exact"/>
              <w:rPr>
                <w:rFonts w:hint="eastAsia" w:ascii="宋体" w:hAnsi="宋体"/>
                <w:color w:val="000000" w:themeColor="text1"/>
                <w:kern w:val="2"/>
                <w:sz w:val="21"/>
                <w:szCs w:val="21"/>
                <w:highlight w:val="none"/>
                <w14:textFill>
                  <w14:solidFill>
                    <w14:schemeClr w14:val="tx1"/>
                  </w14:solidFill>
                </w14:textFill>
              </w:rPr>
            </w:pPr>
          </w:p>
        </w:tc>
      </w:tr>
    </w:tbl>
    <w:p w14:paraId="77535557">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52FDE0C4">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ascii="宋体" w:hAnsi="宋体"/>
          <w:b/>
          <w:color w:val="000000" w:themeColor="text1"/>
          <w:kern w:val="2"/>
          <w:sz w:val="24"/>
          <w:szCs w:val="24"/>
          <w:highlight w:val="none"/>
          <w14:textFill>
            <w14:solidFill>
              <w14:schemeClr w14:val="tx1"/>
            </w14:solidFill>
          </w14:textFill>
        </w:rPr>
        <w:br w:type="page"/>
      </w:r>
    </w:p>
    <w:p w14:paraId="70A4AA46">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附录5 资格审查条件（项目经理和项目总工最低要求）</w:t>
      </w:r>
    </w:p>
    <w:p w14:paraId="78252EEB">
      <w:pPr>
        <w:spacing w:before="120" w:beforeLines="50" w:after="120" w:afterLines="50"/>
        <w:jc w:val="center"/>
        <w:rPr>
          <w:rFonts w:hint="eastAsia" w:ascii="宋体" w:hAnsi="宋体"/>
          <w:b/>
          <w:color w:val="000000" w:themeColor="text1"/>
          <w:kern w:val="2"/>
          <w:szCs w:val="24"/>
          <w:highlight w:val="none"/>
          <w14:textFill>
            <w14:solidFill>
              <w14:schemeClr w14:val="tx1"/>
            </w14:solidFill>
          </w14:textFill>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818"/>
        <w:gridCol w:w="5953"/>
        <w:gridCol w:w="1310"/>
      </w:tblGrid>
      <w:tr w14:paraId="46E6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06" w:type="pct"/>
            <w:vAlign w:val="center"/>
          </w:tcPr>
          <w:p w14:paraId="4585F85D">
            <w:pPr>
              <w:jc w:val="center"/>
              <w:rPr>
                <w:rFonts w:hint="eastAsia" w:ascii="宋体" w:hAnsi="宋体"/>
                <w:color w:val="000000" w:themeColor="text1"/>
                <w:kern w:val="2"/>
                <w:sz w:val="21"/>
                <w:szCs w:val="21"/>
                <w:highlight w:val="none"/>
                <w14:textFill>
                  <w14:solidFill>
                    <w14:schemeClr w14:val="tx1"/>
                  </w14:solidFill>
                </w14:textFill>
              </w:rPr>
            </w:pPr>
            <w:bookmarkStart w:id="8" w:name="_Hlk51596344"/>
            <w:r>
              <w:rPr>
                <w:rFonts w:hint="eastAsia" w:ascii="宋体" w:hAnsi="宋体"/>
                <w:color w:val="000000" w:themeColor="text1"/>
                <w:kern w:val="2"/>
                <w:sz w:val="21"/>
                <w:szCs w:val="21"/>
                <w:highlight w:val="none"/>
                <w14:textFill>
                  <w14:solidFill>
                    <w14:schemeClr w14:val="tx1"/>
                  </w14:solidFill>
                </w14:textFill>
              </w:rPr>
              <w:t>人员</w:t>
            </w:r>
          </w:p>
        </w:tc>
        <w:tc>
          <w:tcPr>
            <w:tcW w:w="445" w:type="pct"/>
            <w:vAlign w:val="center"/>
          </w:tcPr>
          <w:p w14:paraId="3F95DF87">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数量</w:t>
            </w:r>
          </w:p>
        </w:tc>
        <w:tc>
          <w:tcPr>
            <w:tcW w:w="3237" w:type="pct"/>
            <w:vAlign w:val="center"/>
          </w:tcPr>
          <w:p w14:paraId="73AD0C6A">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资格要求</w:t>
            </w:r>
          </w:p>
        </w:tc>
        <w:tc>
          <w:tcPr>
            <w:tcW w:w="713" w:type="pct"/>
            <w:vAlign w:val="center"/>
          </w:tcPr>
          <w:p w14:paraId="50C23E8F">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在岗要求</w:t>
            </w:r>
          </w:p>
        </w:tc>
      </w:tr>
      <w:tr w14:paraId="0676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trPr>
        <w:tc>
          <w:tcPr>
            <w:tcW w:w="606" w:type="pct"/>
            <w:vAlign w:val="center"/>
          </w:tcPr>
          <w:p w14:paraId="21E433DD">
            <w:pPr>
              <w:jc w:val="center"/>
              <w:rPr>
                <w:rFonts w:hint="eastAsia" w:ascii="宋体" w:hAnsi="宋体"/>
                <w:color w:val="000000" w:themeColor="text1"/>
                <w:kern w:val="2"/>
                <w:sz w:val="21"/>
                <w:szCs w:val="21"/>
                <w:highlight w:val="none"/>
                <w14:textFill>
                  <w14:solidFill>
                    <w14:schemeClr w14:val="tx1"/>
                  </w14:solidFill>
                </w14:textFill>
              </w:rPr>
            </w:pPr>
            <w:bookmarkStart w:id="9" w:name="_Hlk51596314"/>
            <w:r>
              <w:rPr>
                <w:rFonts w:hint="eastAsia" w:ascii="宋体" w:hAnsi="宋体"/>
                <w:color w:val="000000" w:themeColor="text1"/>
                <w:kern w:val="2"/>
                <w:sz w:val="21"/>
                <w:szCs w:val="21"/>
                <w:highlight w:val="none"/>
                <w14:textFill>
                  <w14:solidFill>
                    <w14:schemeClr w14:val="tx1"/>
                  </w14:solidFill>
                </w14:textFill>
              </w:rPr>
              <w:t>项目经理</w:t>
            </w:r>
            <w:bookmarkEnd w:id="9"/>
          </w:p>
        </w:tc>
        <w:tc>
          <w:tcPr>
            <w:tcW w:w="445" w:type="pct"/>
            <w:vAlign w:val="center"/>
          </w:tcPr>
          <w:p w14:paraId="4AA66EA4">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w:t>
            </w:r>
          </w:p>
        </w:tc>
        <w:tc>
          <w:tcPr>
            <w:tcW w:w="3237" w:type="pct"/>
            <w:vAlign w:val="center"/>
          </w:tcPr>
          <w:p w14:paraId="626D277C">
            <w:pPr>
              <w:keepNext w:val="0"/>
              <w:keepLines w:val="0"/>
              <w:pageBreakBefore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1、具有工程师或以上职称；</w:t>
            </w:r>
          </w:p>
          <w:p w14:paraId="1090A2BB">
            <w:pPr>
              <w:keepNext w:val="0"/>
              <w:keepLines w:val="0"/>
              <w:pageBreakBefore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2、</w:t>
            </w:r>
            <w:bookmarkStart w:id="10" w:name="_Hlk206768065"/>
            <w:r>
              <w:rPr>
                <w:rFonts w:hint="eastAsia" w:ascii="宋体" w:hAnsi="宋体" w:eastAsia="宋体" w:cs="宋体"/>
                <w:bCs/>
                <w:kern w:val="2"/>
                <w:sz w:val="21"/>
                <w:szCs w:val="21"/>
                <w:highlight w:val="none"/>
              </w:rPr>
              <w:t>具有公路工程或机电工程专业一级建造师注册证书，建造师注册证书的注册单位须与投标人名称一致。</w:t>
            </w:r>
            <w:bookmarkEnd w:id="10"/>
          </w:p>
          <w:p w14:paraId="17BF9BE1">
            <w:pPr>
              <w:keepNext w:val="0"/>
              <w:keepLines w:val="0"/>
              <w:pageBreakBefore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3、</w:t>
            </w:r>
            <w:bookmarkStart w:id="11" w:name="_Hlk206768075"/>
            <w:r>
              <w:rPr>
                <w:rFonts w:hint="eastAsia" w:ascii="宋体" w:hAnsi="宋体" w:eastAsia="宋体" w:cs="宋体"/>
                <w:bCs/>
                <w:kern w:val="2"/>
                <w:sz w:val="21"/>
                <w:szCs w:val="21"/>
                <w:highlight w:val="none"/>
              </w:rPr>
              <w:t>具有交通运输主管部门颁发的有效的安全生产考核合格证书（B类），安全生产考核合格证书的登记单位须与投标人单位名称一致</w:t>
            </w:r>
            <w:bookmarkEnd w:id="11"/>
            <w:r>
              <w:rPr>
                <w:rFonts w:hint="eastAsia" w:ascii="宋体" w:hAnsi="宋体" w:eastAsia="宋体" w:cs="宋体"/>
                <w:bCs/>
                <w:kern w:val="2"/>
                <w:sz w:val="21"/>
                <w:szCs w:val="21"/>
                <w:highlight w:val="none"/>
              </w:rPr>
              <w:t>。</w:t>
            </w:r>
          </w:p>
          <w:p w14:paraId="117914AE">
            <w:pPr>
              <w:keepNext w:val="0"/>
              <w:keepLines w:val="0"/>
              <w:pageBreakBefore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themeColor="text1"/>
                <w:kern w:val="2"/>
                <w:sz w:val="21"/>
                <w:szCs w:val="24"/>
                <w:highlight w:val="none"/>
                <w14:textFill>
                  <w14:solidFill>
                    <w14:schemeClr w14:val="tx1"/>
                  </w14:solidFill>
                </w14:textFill>
              </w:rPr>
            </w:pPr>
            <w:r>
              <w:rPr>
                <w:rFonts w:hint="eastAsia" w:ascii="宋体" w:hAnsi="宋体" w:eastAsia="宋体" w:cs="宋体"/>
                <w:bCs/>
                <w:kern w:val="2"/>
                <w:sz w:val="21"/>
                <w:szCs w:val="21"/>
                <w:highlight w:val="none"/>
              </w:rPr>
              <w:t>4、</w:t>
            </w:r>
            <w:bookmarkStart w:id="12" w:name="_Hlk206768083"/>
            <w:r>
              <w:rPr>
                <w:rFonts w:hint="eastAsia" w:ascii="宋体" w:hAnsi="宋体" w:eastAsia="宋体" w:cs="宋体"/>
                <w:bCs/>
                <w:kern w:val="2"/>
                <w:sz w:val="21"/>
                <w:szCs w:val="21"/>
                <w:highlight w:val="none"/>
              </w:rPr>
              <w:t>近</w:t>
            </w:r>
            <w:r>
              <w:rPr>
                <w:rFonts w:hint="eastAsia" w:ascii="宋体" w:hAnsi="宋体" w:cs="宋体"/>
                <w:bCs/>
                <w:kern w:val="2"/>
                <w:sz w:val="21"/>
                <w:szCs w:val="21"/>
                <w:highlight w:val="none"/>
                <w:lang w:val="en-US" w:eastAsia="zh-CN"/>
              </w:rPr>
              <w:t>5</w:t>
            </w:r>
            <w:r>
              <w:rPr>
                <w:rFonts w:hint="eastAsia" w:ascii="宋体" w:hAnsi="宋体" w:eastAsia="宋体" w:cs="宋体"/>
                <w:bCs/>
                <w:kern w:val="2"/>
                <w:sz w:val="21"/>
                <w:szCs w:val="21"/>
                <w:highlight w:val="none"/>
              </w:rPr>
              <w:t>年（202</w:t>
            </w:r>
            <w:r>
              <w:rPr>
                <w:rFonts w:hint="eastAsia" w:ascii="宋体" w:hAnsi="宋体" w:cs="宋体"/>
                <w:bCs/>
                <w:kern w:val="2"/>
                <w:sz w:val="21"/>
                <w:szCs w:val="21"/>
                <w:highlight w:val="none"/>
                <w:lang w:val="en-US" w:eastAsia="zh-CN"/>
              </w:rPr>
              <w:t>0</w:t>
            </w:r>
            <w:r>
              <w:rPr>
                <w:rFonts w:hint="eastAsia" w:ascii="宋体" w:hAnsi="宋体" w:eastAsia="宋体" w:cs="宋体"/>
                <w:bCs/>
                <w:kern w:val="2"/>
                <w:sz w:val="21"/>
                <w:szCs w:val="21"/>
                <w:highlight w:val="none"/>
              </w:rPr>
              <w:t>年</w:t>
            </w:r>
            <w:r>
              <w:rPr>
                <w:rFonts w:hint="eastAsia" w:ascii="宋体" w:hAnsi="宋体" w:cs="宋体"/>
                <w:bCs/>
                <w:kern w:val="2"/>
                <w:sz w:val="21"/>
                <w:szCs w:val="21"/>
                <w:highlight w:val="none"/>
                <w:lang w:val="en-US" w:eastAsia="zh-CN"/>
              </w:rPr>
              <w:t>11月</w:t>
            </w:r>
            <w:r>
              <w:rPr>
                <w:rFonts w:hint="eastAsia" w:ascii="宋体" w:hAnsi="宋体" w:eastAsia="宋体" w:cs="宋体"/>
                <w:bCs/>
                <w:kern w:val="2"/>
                <w:sz w:val="21"/>
                <w:szCs w:val="21"/>
                <w:highlight w:val="none"/>
              </w:rPr>
              <w:t>1日至投标截止时间，以交工日期为准）担任过一项合同金额不</w:t>
            </w:r>
            <w:r>
              <w:rPr>
                <w:rFonts w:hint="eastAsia" w:ascii="宋体" w:hAnsi="宋体" w:cs="宋体"/>
                <w:bCs/>
                <w:kern w:val="2"/>
                <w:sz w:val="21"/>
                <w:szCs w:val="21"/>
                <w:highlight w:val="none"/>
                <w:lang w:eastAsia="zh-CN"/>
              </w:rPr>
              <w:t>少于</w:t>
            </w:r>
            <w:r>
              <w:rPr>
                <w:rFonts w:hint="eastAsia" w:ascii="宋体" w:hAnsi="宋体" w:eastAsia="宋体" w:cs="宋体"/>
                <w:bCs/>
                <w:kern w:val="2"/>
                <w:sz w:val="21"/>
                <w:szCs w:val="21"/>
                <w:highlight w:val="none"/>
                <w:lang w:val="en-US" w:eastAsia="zh-CN"/>
              </w:rPr>
              <w:t>1</w:t>
            </w:r>
            <w:r>
              <w:rPr>
                <w:rFonts w:hint="eastAsia" w:ascii="宋体" w:hAnsi="宋体" w:eastAsia="宋体" w:cs="宋体"/>
                <w:bCs/>
                <w:kern w:val="2"/>
                <w:sz w:val="21"/>
                <w:szCs w:val="21"/>
                <w:highlight w:val="none"/>
              </w:rPr>
              <w:t>00万元的高速公路机电工程（须包含收费系统）施工的项目经理（或项目副经理</w:t>
            </w:r>
            <w:r>
              <w:rPr>
                <w:rFonts w:hint="eastAsia" w:ascii="宋体" w:hAnsi="宋体" w:cs="宋体"/>
                <w:bCs/>
                <w:kern w:val="2"/>
                <w:sz w:val="21"/>
                <w:szCs w:val="21"/>
                <w:highlight w:val="none"/>
                <w:lang w:val="en-US" w:eastAsia="zh-CN"/>
              </w:rPr>
              <w:t>或项目总工</w:t>
            </w:r>
            <w:r>
              <w:rPr>
                <w:rFonts w:hint="eastAsia" w:ascii="宋体" w:hAnsi="宋体" w:eastAsia="宋体" w:cs="宋体"/>
                <w:bCs/>
                <w:kern w:val="2"/>
                <w:sz w:val="21"/>
                <w:szCs w:val="21"/>
                <w:highlight w:val="none"/>
              </w:rPr>
              <w:t>）</w:t>
            </w:r>
            <w:bookmarkEnd w:id="12"/>
            <w:r>
              <w:rPr>
                <w:rFonts w:hint="eastAsia" w:ascii="宋体" w:hAnsi="宋体" w:eastAsia="宋体" w:cs="宋体"/>
                <w:kern w:val="0"/>
                <w:sz w:val="21"/>
                <w:szCs w:val="21"/>
                <w:highlight w:val="none"/>
              </w:rPr>
              <w:t>。</w:t>
            </w:r>
          </w:p>
        </w:tc>
        <w:tc>
          <w:tcPr>
            <w:tcW w:w="713" w:type="pct"/>
            <w:vMerge w:val="restart"/>
            <w:vAlign w:val="center"/>
          </w:tcPr>
          <w:p w14:paraId="7D00101A">
            <w:pPr>
              <w:adjustRightInd w:val="0"/>
              <w:snapToGrid w:val="0"/>
              <w:rPr>
                <w:rFonts w:hint="eastAsia" w:ascii="宋体" w:hAnsi="宋体"/>
                <w:color w:val="000000" w:themeColor="text1"/>
                <w:kern w:val="0"/>
                <w:sz w:val="21"/>
                <w:szCs w:val="21"/>
                <w:highlight w:val="none"/>
                <w14:textFill>
                  <w14:solidFill>
                    <w14:schemeClr w14:val="tx1"/>
                  </w14:solidFill>
                </w14:textFill>
              </w:rPr>
            </w:pPr>
            <w:r>
              <w:rPr>
                <w:rFonts w:hint="eastAsia" w:ascii="宋体" w:hAnsi="宋体"/>
                <w:color w:val="000000" w:themeColor="text1"/>
                <w:kern w:val="0"/>
                <w:sz w:val="21"/>
                <w:szCs w:val="21"/>
                <w:highlight w:val="none"/>
                <w14:textFill>
                  <w14:solidFill>
                    <w14:schemeClr w14:val="tx1"/>
                  </w14:solidFill>
                </w14:textFill>
              </w:rPr>
              <w:t>未在其他项目上任职，或虽在其他项目上任职但本项目中标后能够从该项目撤离</w:t>
            </w:r>
          </w:p>
        </w:tc>
      </w:tr>
      <w:tr w14:paraId="5F45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606" w:type="pct"/>
            <w:vAlign w:val="center"/>
          </w:tcPr>
          <w:p w14:paraId="0FFBB778">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项目总工</w:t>
            </w:r>
          </w:p>
        </w:tc>
        <w:tc>
          <w:tcPr>
            <w:tcW w:w="445" w:type="pct"/>
            <w:vAlign w:val="center"/>
          </w:tcPr>
          <w:p w14:paraId="46BA3EAD">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w:t>
            </w:r>
          </w:p>
        </w:tc>
        <w:tc>
          <w:tcPr>
            <w:tcW w:w="3237" w:type="pct"/>
            <w:vAlign w:val="center"/>
          </w:tcPr>
          <w:p w14:paraId="1292E034">
            <w:pPr>
              <w:keepNext w:val="0"/>
              <w:keepLines w:val="0"/>
              <w:pageBreakBefore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1、具有高级工程师或以上职称；</w:t>
            </w:r>
          </w:p>
          <w:p w14:paraId="636FC00F">
            <w:pPr>
              <w:keepNext w:val="0"/>
              <w:keepLines w:val="0"/>
              <w:pageBreakBefore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bCs/>
                <w:kern w:val="2"/>
                <w:sz w:val="21"/>
                <w:szCs w:val="21"/>
                <w:highlight w:val="none"/>
              </w:rPr>
              <w:t>2、</w:t>
            </w:r>
            <w:bookmarkStart w:id="13" w:name="_Hlk206768109"/>
            <w:r>
              <w:rPr>
                <w:rFonts w:hint="eastAsia" w:ascii="宋体" w:hAnsi="宋体" w:eastAsia="宋体" w:cs="宋体"/>
                <w:bCs/>
                <w:kern w:val="2"/>
                <w:sz w:val="21"/>
                <w:szCs w:val="21"/>
                <w:highlight w:val="none"/>
              </w:rPr>
              <w:t>近</w:t>
            </w:r>
            <w:r>
              <w:rPr>
                <w:rFonts w:hint="eastAsia" w:ascii="宋体" w:hAnsi="宋体" w:cs="宋体"/>
                <w:bCs/>
                <w:kern w:val="2"/>
                <w:sz w:val="21"/>
                <w:szCs w:val="21"/>
                <w:highlight w:val="none"/>
                <w:lang w:val="en-US" w:eastAsia="zh-CN"/>
              </w:rPr>
              <w:t>5</w:t>
            </w:r>
            <w:r>
              <w:rPr>
                <w:rFonts w:hint="eastAsia" w:ascii="宋体" w:hAnsi="宋体" w:eastAsia="宋体" w:cs="宋体"/>
                <w:bCs/>
                <w:kern w:val="2"/>
                <w:sz w:val="21"/>
                <w:szCs w:val="21"/>
                <w:highlight w:val="none"/>
              </w:rPr>
              <w:t>年（202</w:t>
            </w:r>
            <w:r>
              <w:rPr>
                <w:rFonts w:hint="eastAsia" w:ascii="宋体" w:hAnsi="宋体" w:cs="宋体"/>
                <w:bCs/>
                <w:kern w:val="2"/>
                <w:sz w:val="21"/>
                <w:szCs w:val="21"/>
                <w:highlight w:val="none"/>
                <w:lang w:val="en-US" w:eastAsia="zh-CN"/>
              </w:rPr>
              <w:t>0</w:t>
            </w:r>
            <w:r>
              <w:rPr>
                <w:rFonts w:hint="eastAsia" w:ascii="宋体" w:hAnsi="宋体" w:eastAsia="宋体" w:cs="宋体"/>
                <w:bCs/>
                <w:kern w:val="2"/>
                <w:sz w:val="21"/>
                <w:szCs w:val="21"/>
                <w:highlight w:val="none"/>
              </w:rPr>
              <w:t>年</w:t>
            </w:r>
            <w:r>
              <w:rPr>
                <w:rFonts w:hint="eastAsia" w:ascii="宋体" w:hAnsi="宋体" w:cs="宋体"/>
                <w:bCs/>
                <w:kern w:val="2"/>
                <w:sz w:val="21"/>
                <w:szCs w:val="21"/>
                <w:highlight w:val="none"/>
                <w:lang w:val="en-US" w:eastAsia="zh-CN"/>
              </w:rPr>
              <w:t>11月</w:t>
            </w:r>
            <w:r>
              <w:rPr>
                <w:rFonts w:hint="eastAsia" w:ascii="宋体" w:hAnsi="宋体" w:eastAsia="宋体" w:cs="宋体"/>
                <w:bCs/>
                <w:kern w:val="2"/>
                <w:sz w:val="21"/>
                <w:szCs w:val="21"/>
                <w:highlight w:val="none"/>
              </w:rPr>
              <w:t>1日至投标截止时间，以交工日期为准）担任过一项合同金额不</w:t>
            </w:r>
            <w:r>
              <w:rPr>
                <w:rFonts w:hint="eastAsia" w:ascii="宋体" w:hAnsi="宋体" w:cs="宋体"/>
                <w:bCs/>
                <w:kern w:val="2"/>
                <w:sz w:val="21"/>
                <w:szCs w:val="21"/>
                <w:highlight w:val="none"/>
                <w:lang w:eastAsia="zh-CN"/>
              </w:rPr>
              <w:t>少于</w:t>
            </w:r>
            <w:r>
              <w:rPr>
                <w:rFonts w:hint="eastAsia" w:ascii="宋体" w:hAnsi="宋体" w:eastAsia="宋体" w:cs="宋体"/>
                <w:bCs/>
                <w:kern w:val="2"/>
                <w:sz w:val="21"/>
                <w:szCs w:val="21"/>
                <w:highlight w:val="none"/>
                <w:lang w:val="en-US" w:eastAsia="zh-CN"/>
              </w:rPr>
              <w:t>1</w:t>
            </w:r>
            <w:r>
              <w:rPr>
                <w:rFonts w:hint="eastAsia" w:ascii="宋体" w:hAnsi="宋体" w:eastAsia="宋体" w:cs="宋体"/>
                <w:bCs/>
                <w:kern w:val="2"/>
                <w:sz w:val="21"/>
                <w:szCs w:val="21"/>
                <w:highlight w:val="none"/>
              </w:rPr>
              <w:t>00万元的高速公路机电工程（须包含收费系统）施工的项目总工（或项目副总工）</w:t>
            </w:r>
            <w:bookmarkEnd w:id="13"/>
            <w:r>
              <w:rPr>
                <w:rFonts w:hint="eastAsia" w:ascii="宋体" w:hAnsi="宋体" w:eastAsia="宋体" w:cs="宋体"/>
                <w:bCs/>
                <w:kern w:val="2"/>
                <w:sz w:val="21"/>
                <w:szCs w:val="21"/>
                <w:highlight w:val="none"/>
              </w:rPr>
              <w:t>。</w:t>
            </w:r>
          </w:p>
        </w:tc>
        <w:tc>
          <w:tcPr>
            <w:tcW w:w="713" w:type="pct"/>
            <w:vMerge w:val="continue"/>
            <w:vAlign w:val="center"/>
          </w:tcPr>
          <w:p w14:paraId="387E45B7">
            <w:pPr>
              <w:adjustRightInd w:val="0"/>
              <w:snapToGrid w:val="0"/>
              <w:ind w:firstLine="420" w:firstLineChars="200"/>
              <w:rPr>
                <w:rFonts w:hint="eastAsia" w:ascii="宋体" w:hAnsi="宋体" w:cs="Arial"/>
                <w:color w:val="000000" w:themeColor="text1"/>
                <w:kern w:val="0"/>
                <w:sz w:val="21"/>
                <w:szCs w:val="21"/>
                <w:highlight w:val="none"/>
                <w14:textFill>
                  <w14:solidFill>
                    <w14:schemeClr w14:val="tx1"/>
                  </w14:solidFill>
                </w14:textFill>
              </w:rPr>
            </w:pPr>
          </w:p>
        </w:tc>
      </w:tr>
      <w:bookmarkEnd w:id="8"/>
    </w:tbl>
    <w:p w14:paraId="7EB015F0">
      <w:pPr>
        <w:ind w:firstLine="420" w:firstLineChars="200"/>
        <w:rPr>
          <w:rFonts w:hint="eastAsia" w:ascii="宋体" w:hAnsi="宋体"/>
          <w:color w:val="000000" w:themeColor="text1"/>
          <w:sz w:val="21"/>
          <w:szCs w:val="21"/>
          <w:highlight w:val="none"/>
          <w14:textFill>
            <w14:solidFill>
              <w14:schemeClr w14:val="tx1"/>
            </w14:solidFill>
          </w14:textFill>
        </w:rPr>
      </w:pPr>
    </w:p>
    <w:p w14:paraId="4446A6C7">
      <w:pPr>
        <w:pStyle w:val="3"/>
        <w:numPr>
          <w:numId w:val="0"/>
        </w:numPr>
        <w:spacing w:before="0" w:after="0" w:line="360" w:lineRule="auto"/>
        <w:ind w:leftChars="0"/>
        <w:rPr>
          <w:rFonts w:hint="eastAsia" w:ascii="黑体" w:hAnsi="黑体" w:eastAsia="黑体"/>
          <w:color w:val="000000" w:themeColor="text1"/>
          <w:sz w:val="28"/>
          <w:szCs w:val="28"/>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23" w:name="_GoBack"/>
      <w:bookmarkEnd w:id="23"/>
      <w:bookmarkStart w:id="14" w:name="_Toc161207393"/>
      <w:bookmarkStart w:id="15" w:name="_Toc19123"/>
      <w:bookmarkStart w:id="16" w:name="_Toc17709"/>
      <w:bookmarkStart w:id="17" w:name="_Toc164101096"/>
      <w:bookmarkStart w:id="18" w:name="_Toc144838351"/>
      <w:bookmarkStart w:id="19" w:name="_Toc134792339"/>
      <w:bookmarkStart w:id="20" w:name="_Toc144837285"/>
      <w:r>
        <w:rPr>
          <w:rFonts w:hint="eastAsia" w:ascii="黑体" w:hAnsi="黑体" w:eastAsia="黑体"/>
          <w:color w:val="000000" w:themeColor="text1"/>
          <w:sz w:val="28"/>
          <w:szCs w:val="28"/>
          <w:highlight w:val="none"/>
          <w14:textFill>
            <w14:solidFill>
              <w14:schemeClr w14:val="tx1"/>
            </w14:solidFill>
          </w14:textFill>
        </w:rPr>
        <w:t>附件2：评标办法</w:t>
      </w:r>
      <w:bookmarkEnd w:id="14"/>
      <w:bookmarkEnd w:id="15"/>
      <w:bookmarkEnd w:id="16"/>
      <w:bookmarkEnd w:id="17"/>
    </w:p>
    <w:bookmarkEnd w:id="18"/>
    <w:bookmarkEnd w:id="19"/>
    <w:bookmarkEnd w:id="20"/>
    <w:p w14:paraId="6B325244">
      <w:pPr>
        <w:keepNext/>
        <w:keepLines/>
        <w:pageBreakBefore w:val="0"/>
        <w:widowControl/>
        <w:numPr>
          <w:ilvl w:val="2"/>
          <w:numId w:val="2"/>
        </w:numPr>
        <w:kinsoku/>
        <w:wordWrap w:val="0"/>
        <w:overflowPunct/>
        <w:topLinePunct w:val="0"/>
        <w:autoSpaceDE/>
        <w:autoSpaceDN/>
        <w:bidi w:val="0"/>
        <w:adjustRightInd/>
        <w:snapToGrid w:val="0"/>
        <w:spacing w:before="0" w:after="0" w:line="360" w:lineRule="auto"/>
        <w:jc w:val="left"/>
        <w:textAlignment w:val="auto"/>
        <w:outlineLvl w:val="9"/>
        <w:rPr>
          <w:rFonts w:hint="eastAsia" w:ascii="宋体" w:hAnsi="宋体" w:cs="宋体"/>
          <w:color w:val="000000" w:themeColor="text1"/>
          <w:spacing w:val="1"/>
          <w:kern w:val="0"/>
          <w:sz w:val="24"/>
          <w:szCs w:val="24"/>
          <w:highlight w:val="none"/>
          <w14:textFill>
            <w14:solidFill>
              <w14:schemeClr w14:val="tx1"/>
            </w14:solidFill>
          </w14:textFill>
        </w:rPr>
      </w:pPr>
      <w:bookmarkStart w:id="21" w:name="_Toc12397"/>
      <w:bookmarkStart w:id="22" w:name="_Toc6802"/>
      <w:r>
        <w:rPr>
          <w:rFonts w:hint="eastAsia" w:ascii="宋体" w:hAnsi="宋体" w:cs="宋体"/>
          <w:color w:val="000000" w:themeColor="text1"/>
          <w:spacing w:val="2"/>
          <w:kern w:val="0"/>
          <w:sz w:val="24"/>
          <w:szCs w:val="24"/>
          <w:highlight w:val="none"/>
          <w14:textFill>
            <w14:solidFill>
              <w14:schemeClr w14:val="tx1"/>
            </w14:solidFill>
          </w14:textFill>
        </w:rPr>
        <w:t>评标办法前附表</w:t>
      </w:r>
      <w:bookmarkEnd w:id="21"/>
      <w:bookmarkEnd w:id="22"/>
    </w:p>
    <w:tbl>
      <w:tblPr>
        <w:tblStyle w:val="8"/>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35EE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048AE661">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条款号</w:t>
            </w:r>
          </w:p>
        </w:tc>
        <w:tc>
          <w:tcPr>
            <w:tcW w:w="7197" w:type="dxa"/>
            <w:vAlign w:val="center"/>
          </w:tcPr>
          <w:p w14:paraId="5FB4CB76">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评审因素与标准</w:t>
            </w:r>
          </w:p>
        </w:tc>
      </w:tr>
      <w:tr w14:paraId="6FDF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74" w:hRule="atLeast"/>
          <w:jc w:val="center"/>
        </w:trPr>
        <w:tc>
          <w:tcPr>
            <w:tcW w:w="1143" w:type="dxa"/>
            <w:vAlign w:val="center"/>
          </w:tcPr>
          <w:p w14:paraId="14B9F478">
            <w:pPr>
              <w:keepNext w:val="0"/>
              <w:keepLines w:val="0"/>
              <w:pageBreakBefore w:val="0"/>
              <w:widowControl/>
              <w:kinsoku/>
              <w:wordWrap/>
              <w:overflowPunct/>
              <w:topLinePunct w:val="0"/>
              <w:autoSpaceDE/>
              <w:autoSpaceDN/>
              <w:bidi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1</w:t>
            </w:r>
          </w:p>
        </w:tc>
        <w:tc>
          <w:tcPr>
            <w:tcW w:w="1317" w:type="dxa"/>
            <w:vAlign w:val="center"/>
          </w:tcPr>
          <w:p w14:paraId="3CE44B34">
            <w:pPr>
              <w:keepNext w:val="0"/>
              <w:keepLines w:val="0"/>
              <w:pageBreakBefore w:val="0"/>
              <w:widowControl/>
              <w:kinsoku/>
              <w:wordWrap/>
              <w:overflowPunct/>
              <w:topLinePunct w:val="0"/>
              <w:autoSpaceDE/>
              <w:autoSpaceDN/>
              <w:bidi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评标办法</w:t>
            </w:r>
          </w:p>
        </w:tc>
        <w:tc>
          <w:tcPr>
            <w:tcW w:w="7197" w:type="dxa"/>
            <w:vAlign w:val="center"/>
          </w:tcPr>
          <w:p w14:paraId="4FE884A2">
            <w:pPr>
              <w:keepNext w:val="0"/>
              <w:keepLines w:val="0"/>
              <w:pageBreakBefore w:val="0"/>
              <w:widowControl w:val="0"/>
              <w:kinsoku/>
              <w:wordWrap/>
              <w:overflowPunct/>
              <w:topLinePunct w:val="0"/>
              <w:autoSpaceDE/>
              <w:autoSpaceDN/>
              <w:bidi w:val="0"/>
              <w:adjustRightInd/>
              <w:snapToGrid w:val="0"/>
              <w:spacing w:line="320" w:lineRule="exact"/>
              <w:ind w:firstLine="404" w:firstLineChars="200"/>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本次评标采用合理低价法。评标委员会对满足招标文件实质性要求的投标文件，按照本章第2.2款规定的评分标准进行打分，并按得分由高到低顺序推荐1-3名中标候选人，</w:t>
            </w:r>
            <w:r>
              <w:rPr>
                <w:rFonts w:hint="eastAsia" w:ascii="宋体" w:hAnsi="宋体" w:eastAsia="宋体" w:cs="宋体"/>
                <w:spacing w:val="-4"/>
                <w:kern w:val="2"/>
                <w:sz w:val="21"/>
                <w:szCs w:val="21"/>
                <w:highlight w:val="none"/>
                <w:lang w:val="en-US" w:eastAsia="zh-CN"/>
              </w:rPr>
              <w:t>综合</w:t>
            </w:r>
            <w:r>
              <w:rPr>
                <w:rFonts w:hint="eastAsia" w:ascii="宋体" w:hAnsi="宋体" w:eastAsia="宋体" w:cs="宋体"/>
                <w:spacing w:val="-4"/>
                <w:kern w:val="2"/>
                <w:sz w:val="21"/>
                <w:szCs w:val="21"/>
                <w:highlight w:val="none"/>
              </w:rPr>
              <w:t>评分相等时，评标委员会依次按照以下优先顺序推荐中标候选人：</w:t>
            </w:r>
          </w:p>
          <w:p w14:paraId="1BE39F4E">
            <w:pPr>
              <w:keepNext w:val="0"/>
              <w:keepLines w:val="0"/>
              <w:pageBreakBefore w:val="0"/>
              <w:widowControl w:val="0"/>
              <w:kinsoku/>
              <w:wordWrap/>
              <w:overflowPunct/>
              <w:topLinePunct w:val="0"/>
              <w:autoSpaceDE/>
              <w:autoSpaceDN/>
              <w:bidi w:val="0"/>
              <w:adjustRightInd/>
              <w:snapToGrid w:val="0"/>
              <w:spacing w:line="320" w:lineRule="exact"/>
              <w:ind w:firstLine="404" w:firstLineChars="200"/>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（1）评标价低的投标人优先；</w:t>
            </w:r>
          </w:p>
          <w:p w14:paraId="2D2F86D5">
            <w:pPr>
              <w:keepNext w:val="0"/>
              <w:keepLines w:val="0"/>
              <w:pageBreakBefore w:val="0"/>
              <w:widowControl/>
              <w:kinsoku/>
              <w:wordWrap/>
              <w:overflowPunct/>
              <w:topLinePunct w:val="0"/>
              <w:autoSpaceDE/>
              <w:autoSpaceDN/>
              <w:bidi w:val="0"/>
              <w:snapToGrid w:val="0"/>
              <w:spacing w:line="320" w:lineRule="exact"/>
              <w:ind w:firstLine="404" w:firstLineChars="200"/>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pacing w:val="-4"/>
                <w:kern w:val="2"/>
                <w:sz w:val="21"/>
                <w:szCs w:val="21"/>
                <w:highlight w:val="none"/>
              </w:rPr>
              <w:t>（2）投标人满足资格审查条件(业绩最低</w:t>
            </w:r>
            <w:r>
              <w:rPr>
                <w:rFonts w:hint="eastAsia" w:ascii="宋体" w:hAnsi="宋体" w:cs="宋体"/>
                <w:spacing w:val="-4"/>
                <w:kern w:val="2"/>
                <w:sz w:val="21"/>
                <w:szCs w:val="21"/>
                <w:highlight w:val="none"/>
                <w:lang w:eastAsia="zh-CN"/>
              </w:rPr>
              <w:t>要求</w:t>
            </w:r>
            <w:r>
              <w:rPr>
                <w:rFonts w:hint="eastAsia" w:ascii="宋体" w:hAnsi="宋体" w:eastAsia="宋体" w:cs="宋体"/>
                <w:spacing w:val="-4"/>
                <w:kern w:val="2"/>
                <w:sz w:val="21"/>
                <w:szCs w:val="21"/>
                <w:highlight w:val="none"/>
              </w:rPr>
              <w:t>)的业绩累计</w:t>
            </w:r>
            <w:r>
              <w:rPr>
                <w:rFonts w:hint="eastAsia" w:ascii="宋体" w:hAnsi="宋体" w:eastAsia="宋体" w:cs="宋体"/>
                <w:kern w:val="2"/>
                <w:sz w:val="21"/>
                <w:szCs w:val="21"/>
                <w:highlight w:val="none"/>
              </w:rPr>
              <w:t>合同额高的优先。</w:t>
            </w:r>
          </w:p>
        </w:tc>
      </w:tr>
      <w:tr w14:paraId="5811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70E1F1F8">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2.1.1</w:t>
            </w:r>
          </w:p>
          <w:p w14:paraId="270CB6B3">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2.1.3</w:t>
            </w:r>
          </w:p>
        </w:tc>
        <w:tc>
          <w:tcPr>
            <w:tcW w:w="1317" w:type="dxa"/>
            <w:vAlign w:val="center"/>
          </w:tcPr>
          <w:p w14:paraId="2DC9B164">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形式评审与响应性评审标准</w:t>
            </w:r>
          </w:p>
        </w:tc>
        <w:tc>
          <w:tcPr>
            <w:tcW w:w="7197" w:type="dxa"/>
            <w:vAlign w:val="center"/>
          </w:tcPr>
          <w:p w14:paraId="2DA7244B">
            <w:pPr>
              <w:keepNext w:val="0"/>
              <w:keepLines w:val="0"/>
              <w:pageBreakBefore w:val="0"/>
              <w:tabs>
                <w:tab w:val="left" w:pos="3060"/>
              </w:tabs>
              <w:kinsoku/>
              <w:wordWrap/>
              <w:overflowPunct/>
              <w:topLinePunct w:val="0"/>
              <w:autoSpaceDE/>
              <w:autoSpaceDN/>
              <w:bidi w:val="0"/>
              <w:snapToGrid w:val="0"/>
              <w:spacing w:line="320" w:lineRule="exact"/>
              <w:ind w:firstLine="211"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4"/>
                <w:sz w:val="21"/>
                <w:szCs w:val="21"/>
                <w:highlight w:val="none"/>
                <w14:textFill>
                  <w14:solidFill>
                    <w14:schemeClr w14:val="tx1"/>
                  </w14:solidFill>
                </w14:textFill>
              </w:rPr>
              <w:t>第一个信封（商务</w:t>
            </w:r>
            <w:r>
              <w:rPr>
                <w:rFonts w:hint="eastAsia" w:ascii="宋体" w:hAnsi="宋体" w:eastAsia="宋体" w:cs="宋体"/>
                <w:b/>
                <w:bCs/>
                <w:color w:val="000000" w:themeColor="text1"/>
                <w:spacing w:val="-4"/>
                <w:sz w:val="21"/>
                <w:szCs w:val="21"/>
                <w:highlight w:val="none"/>
                <w:lang w:val="en-US" w:eastAsia="zh-CN"/>
                <w14:textFill>
                  <w14:solidFill>
                    <w14:schemeClr w14:val="tx1"/>
                  </w14:solidFill>
                </w14:textFill>
              </w:rPr>
              <w:t>及技术</w:t>
            </w:r>
            <w:r>
              <w:rPr>
                <w:rFonts w:hint="eastAsia" w:ascii="宋体" w:hAnsi="宋体" w:eastAsia="宋体" w:cs="宋体"/>
                <w:b/>
                <w:bCs/>
                <w:color w:val="000000" w:themeColor="text1"/>
                <w:spacing w:val="-4"/>
                <w:sz w:val="21"/>
                <w:szCs w:val="21"/>
                <w:highlight w:val="none"/>
                <w14:textFill>
                  <w14:solidFill>
                    <w14:schemeClr w14:val="tx1"/>
                  </w14:solidFill>
                </w14:textFill>
              </w:rPr>
              <w:t>文件）评审标准：</w:t>
            </w:r>
          </w:p>
          <w:p w14:paraId="0028185B">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（1）投标文件按照招标文件规定的格式、内容填写，字迹清晰可辨：</w:t>
            </w:r>
          </w:p>
          <w:p w14:paraId="1D3B1CFF">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a．投标函按招标文件规定填报了招标人名称、项目名称、补遗书编号（如有）、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工期、</w:t>
            </w:r>
            <w:r>
              <w:rPr>
                <w:rFonts w:hint="eastAsia" w:ascii="宋体" w:hAnsi="宋体" w:eastAsia="宋体" w:cs="宋体"/>
                <w:color w:val="000000" w:themeColor="text1"/>
                <w:spacing w:val="-4"/>
                <w:sz w:val="21"/>
                <w:szCs w:val="21"/>
                <w:highlight w:val="none"/>
                <w14:textFill>
                  <w14:solidFill>
                    <w14:schemeClr w14:val="tx1"/>
                  </w14:solidFill>
                </w14:textFill>
              </w:rPr>
              <w:t>质量</w:t>
            </w:r>
            <w:r>
              <w:rPr>
                <w:rFonts w:hint="eastAsia" w:ascii="宋体" w:hAnsi="宋体" w:cs="宋体"/>
                <w:color w:val="000000" w:themeColor="text1"/>
                <w:spacing w:val="-4"/>
                <w:sz w:val="21"/>
                <w:szCs w:val="21"/>
                <w:highlight w:val="none"/>
                <w:lang w:val="en-US" w:eastAsia="zh-CN"/>
                <w14:textFill>
                  <w14:solidFill>
                    <w14:schemeClr w14:val="tx1"/>
                  </w14:solidFill>
                </w14:textFill>
              </w:rPr>
              <w:t>要求</w:t>
            </w:r>
            <w:r>
              <w:rPr>
                <w:rFonts w:hint="eastAsia" w:ascii="宋体" w:hAnsi="宋体" w:eastAsia="宋体" w:cs="宋体"/>
                <w:color w:val="000000" w:themeColor="text1"/>
                <w:spacing w:val="-4"/>
                <w:sz w:val="21"/>
                <w:szCs w:val="21"/>
                <w:highlight w:val="none"/>
                <w14:textFill>
                  <w14:solidFill>
                    <w14:schemeClr w14:val="tx1"/>
                  </w14:solidFill>
                </w14:textFill>
              </w:rPr>
              <w:t>、安全目标、项目经理、项目总工</w:t>
            </w:r>
            <w:r>
              <w:rPr>
                <w:rFonts w:hint="eastAsia" w:ascii="宋体" w:hAnsi="宋体" w:eastAsia="宋体" w:cs="宋体"/>
                <w:color w:val="000000" w:themeColor="text1"/>
                <w:sz w:val="21"/>
                <w:szCs w:val="21"/>
                <w:highlight w:val="none"/>
                <w14:textFill>
                  <w14:solidFill>
                    <w14:schemeClr w14:val="tx1"/>
                  </w14:solidFill>
                </w14:textFill>
              </w:rPr>
              <w:t>等内容；</w:t>
            </w:r>
          </w:p>
          <w:p w14:paraId="7FD4367B">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b．投标函附录的所有数据均符合招标文件规定。</w:t>
            </w:r>
          </w:p>
          <w:p w14:paraId="0B3AFEBA">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C.投标文件组成齐全完整，内容均按规定填写。</w:t>
            </w:r>
          </w:p>
          <w:p w14:paraId="714AEABA">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（2）投标文件上法定代表人或其授权代理人的签字、投标人的单位章盖章齐全，符合招标文件规定。</w:t>
            </w:r>
          </w:p>
          <w:p w14:paraId="621BD482">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（3）投标人按照招标文件的规定提供了投标保证金，满足招标文件投标人须知前附表第3.4.1款要求。</w:t>
            </w:r>
          </w:p>
          <w:p w14:paraId="60B471A4">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（4）投标人法定代表人授权委托代理人签署投标文件的，须提交授权委托书，授权委托书符合招标文件规定。</w:t>
            </w:r>
          </w:p>
          <w:p w14:paraId="0578886F">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（5）投标人法定代表人亲自签署投标文件的，提供了法定代表人身份证明，法定代表人身份证明符合招标文件规定。</w:t>
            </w:r>
          </w:p>
          <w:p w14:paraId="7C16B45B">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（6）投标人未以联合体形式投标</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p>
          <w:p w14:paraId="0E120371">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（7）投标人未对本项目提出分包计划。</w:t>
            </w:r>
          </w:p>
          <w:p w14:paraId="641ACD9B">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（8）投标人未提交两个以上不同的投标文件。</w:t>
            </w:r>
          </w:p>
          <w:p w14:paraId="734E9F0D">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（9）投标文件中未出现有关投标报价的内容。</w:t>
            </w:r>
          </w:p>
          <w:p w14:paraId="2A38BD92">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（10）投标文件载明的招标项目完成期限未超过招标文件规定的时限。</w:t>
            </w:r>
          </w:p>
          <w:p w14:paraId="5DCD49A7">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（11）投标文件对招标文件的实质性要求和条件作出响应。</w:t>
            </w:r>
          </w:p>
          <w:p w14:paraId="278F6DAD">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（12）权利义务符合招标文件规定：</w:t>
            </w:r>
          </w:p>
          <w:p w14:paraId="446F4FCD">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a.投标人应接受招标文件规定的风险划分原则，未提出新的风险划分办法；</w:t>
            </w:r>
          </w:p>
          <w:p w14:paraId="7D555006">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b.投标人未增加发包人的责任范围，或减少投标人义务；</w:t>
            </w:r>
          </w:p>
          <w:p w14:paraId="4CEBED3E">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c.投标人未提出不同的支付办法；</w:t>
            </w:r>
          </w:p>
          <w:p w14:paraId="11F92F21">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d.投标人对合同纠纷、事故处理办法未提出异议；</w:t>
            </w:r>
          </w:p>
          <w:p w14:paraId="1F91C308">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e.投标人在投标活动中无欺诈行为；</w:t>
            </w:r>
          </w:p>
          <w:p w14:paraId="35F3CCAB">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f.投标人未对合同条款有重要保留。</w:t>
            </w:r>
          </w:p>
          <w:p w14:paraId="12EFF8FC">
            <w:pPr>
              <w:keepNext w:val="0"/>
              <w:keepLines w:val="0"/>
              <w:pageBreakBefore w:val="0"/>
              <w:tabs>
                <w:tab w:val="left" w:pos="3060"/>
              </w:tabs>
              <w:kinsoku/>
              <w:wordWrap/>
              <w:overflowPunct/>
              <w:topLinePunct w:val="0"/>
              <w:autoSpaceDE/>
              <w:autoSpaceDN/>
              <w:bidi w:val="0"/>
              <w:snapToGrid w:val="0"/>
              <w:spacing w:line="320" w:lineRule="exact"/>
              <w:ind w:firstLine="219" w:firstLineChars="104"/>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第二个信封（报价文件）评审标准：</w:t>
            </w:r>
          </w:p>
          <w:p w14:paraId="1B2F91A6">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（1）投标文件按照招标文件规定的格式、内容填写，字迹清晰可辨，内容齐全完整：</w:t>
            </w:r>
          </w:p>
          <w:p w14:paraId="0AF34654">
            <w:pPr>
              <w:keepNext w:val="0"/>
              <w:keepLines w:val="0"/>
              <w:pageBreakBefore w:val="0"/>
              <w:kinsoku/>
              <w:wordWrap/>
              <w:overflowPunct/>
              <w:topLinePunct w:val="0"/>
              <w:autoSpaceDE/>
              <w:autoSpaceDN/>
              <w:bidi w:val="0"/>
              <w:snapToGrid w:val="0"/>
              <w:spacing w:line="32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a．投标函按招标文件规定填报了招标人名称、项目名称、补遗书编号（如有）、投标报价（包括大写金额和小写金额）；</w:t>
            </w:r>
          </w:p>
          <w:p w14:paraId="31DDC0C2">
            <w:pPr>
              <w:keepNext w:val="0"/>
              <w:keepLines w:val="0"/>
              <w:pageBreakBefore w:val="0"/>
              <w:kinsoku/>
              <w:wordWrap/>
              <w:overflowPunct/>
              <w:topLinePunct w:val="0"/>
              <w:autoSpaceDE/>
              <w:autoSpaceDN/>
              <w:bidi w:val="0"/>
              <w:snapToGrid w:val="0"/>
              <w:spacing w:line="32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b．已标价工程量清单说明文字与招标文件规定一致，未进行实质性修改和删减；</w:t>
            </w:r>
          </w:p>
          <w:p w14:paraId="2338ADD1">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c．投标文件组成齐全完整，内容均按规定填写；</w:t>
            </w:r>
          </w:p>
          <w:p w14:paraId="5070EE83">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（2）投标文件上法定代表人或其授权代理人的签字、投标人的单位章盖章齐全，符合招标文件规定；</w:t>
            </w:r>
          </w:p>
          <w:p w14:paraId="177AEB4A">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（3）投标报价未超过招标文件设定的最高投标限价；</w:t>
            </w:r>
          </w:p>
          <w:p w14:paraId="61A1253C">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（4）投标报价大写金额能够确定具体数值；</w:t>
            </w:r>
          </w:p>
          <w:p w14:paraId="7E1E6734">
            <w:pPr>
              <w:keepNext w:val="0"/>
              <w:keepLines w:val="0"/>
              <w:pageBreakBefore w:val="0"/>
              <w:tabs>
                <w:tab w:val="left" w:pos="3060"/>
              </w:tabs>
              <w:kinsoku/>
              <w:wordWrap/>
              <w:overflowPunct/>
              <w:topLinePunct w:val="0"/>
              <w:autoSpaceDE/>
              <w:autoSpaceDN/>
              <w:bidi w:val="0"/>
              <w:snapToGrid w:val="0"/>
              <w:spacing w:line="320" w:lineRule="exact"/>
              <w:ind w:firstLine="218" w:firstLineChars="104"/>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（5）投标人未提交两个以上不同的投标报价；</w:t>
            </w:r>
          </w:p>
          <w:p w14:paraId="7EF76A85">
            <w:pPr>
              <w:keepNext w:val="0"/>
              <w:keepLines w:val="0"/>
              <w:pageBreakBefore w:val="0"/>
              <w:widowControl/>
              <w:kinsoku/>
              <w:wordWrap/>
              <w:overflowPunct/>
              <w:topLinePunct w:val="0"/>
              <w:autoSpaceDE/>
              <w:autoSpaceDN/>
              <w:bidi w:val="0"/>
              <w:snapToGrid w:val="0"/>
              <w:spacing w:line="320" w:lineRule="exact"/>
              <w:ind w:firstLine="210" w:firstLineChars="100"/>
              <w:jc w:val="left"/>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（6）投标人未提交调价函</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6F6A321F">
            <w:pPr>
              <w:keepNext w:val="0"/>
              <w:keepLines w:val="0"/>
              <w:pageBreakBefore w:val="0"/>
              <w:widowControl/>
              <w:kinsoku/>
              <w:wordWrap/>
              <w:overflowPunct/>
              <w:topLinePunct w:val="0"/>
              <w:autoSpaceDE/>
              <w:autoSpaceDN/>
              <w:bidi w:val="0"/>
              <w:snapToGrid w:val="0"/>
              <w:spacing w:line="320" w:lineRule="exact"/>
              <w:ind w:firstLine="210" w:firstLineChars="100"/>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2"/>
                <w:sz w:val="21"/>
                <w:szCs w:val="21"/>
                <w:highlight w:val="none"/>
                <w14:textFill>
                  <w14:solidFill>
                    <w14:schemeClr w14:val="tx1"/>
                  </w14:solidFill>
                </w14:textFill>
              </w:rPr>
              <w:t>投标人填写完毕的工程量清单未对招标人提供的工程量固化清单电子文件中的数据、格式和运算定义进行修改；工程量固化清单中的投标报价和投标函大写金额报价一致</w:t>
            </w:r>
            <w:r>
              <w:rPr>
                <w:rFonts w:hint="eastAsia" w:ascii="宋体" w:hAnsi="宋体" w:eastAsia="宋体" w:cs="宋体"/>
                <w:color w:val="000000" w:themeColor="text1"/>
                <w:kern w:val="0"/>
                <w:sz w:val="21"/>
                <w:szCs w:val="21"/>
                <w:highlight w:val="none"/>
                <w14:textFill>
                  <w14:solidFill>
                    <w14:schemeClr w14:val="tx1"/>
                  </w14:solidFill>
                </w14:textFill>
              </w:rPr>
              <w:t>。</w:t>
            </w:r>
          </w:p>
        </w:tc>
      </w:tr>
      <w:tr w14:paraId="442B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39829154">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2.1.2</w:t>
            </w:r>
          </w:p>
        </w:tc>
        <w:tc>
          <w:tcPr>
            <w:tcW w:w="1317" w:type="dxa"/>
            <w:vAlign w:val="center"/>
          </w:tcPr>
          <w:p w14:paraId="610E22F9">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资格评审标准</w:t>
            </w:r>
          </w:p>
        </w:tc>
        <w:tc>
          <w:tcPr>
            <w:tcW w:w="7197" w:type="dxa"/>
            <w:vAlign w:val="center"/>
          </w:tcPr>
          <w:p w14:paraId="76609407">
            <w:pPr>
              <w:keepNext w:val="0"/>
              <w:keepLines w:val="0"/>
              <w:pageBreakBefore w:val="0"/>
              <w:tabs>
                <w:tab w:val="left" w:pos="3060"/>
              </w:tabs>
              <w:kinsoku/>
              <w:wordWrap/>
              <w:overflowPunct/>
              <w:topLinePunct w:val="0"/>
              <w:autoSpaceDE/>
              <w:autoSpaceDN/>
              <w:bidi w:val="0"/>
              <w:snapToGrid w:val="0"/>
              <w:spacing w:line="320" w:lineRule="exact"/>
              <w:ind w:firstLine="205" w:firstLineChars="98"/>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（1）投标人具备有效的营业执照、资质证书、安全生产许可证和基本账户开户许可证（或基本存款账户信息）。</w:t>
            </w:r>
          </w:p>
          <w:p w14:paraId="721BCE1F">
            <w:pPr>
              <w:keepNext w:val="0"/>
              <w:keepLines w:val="0"/>
              <w:pageBreakBefore w:val="0"/>
              <w:tabs>
                <w:tab w:val="left" w:pos="3060"/>
              </w:tabs>
              <w:kinsoku/>
              <w:wordWrap/>
              <w:overflowPunct/>
              <w:topLinePunct w:val="0"/>
              <w:autoSpaceDE/>
              <w:autoSpaceDN/>
              <w:bidi w:val="0"/>
              <w:snapToGrid w:val="0"/>
              <w:spacing w:line="320" w:lineRule="exact"/>
              <w:ind w:firstLine="205" w:firstLineChars="98"/>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（2）投标人的资质等级符合招标文件规定。</w:t>
            </w:r>
          </w:p>
          <w:p w14:paraId="2FBF6596">
            <w:pPr>
              <w:keepNext w:val="0"/>
              <w:keepLines w:val="0"/>
              <w:pageBreakBefore w:val="0"/>
              <w:tabs>
                <w:tab w:val="left" w:pos="3060"/>
              </w:tabs>
              <w:kinsoku/>
              <w:wordWrap/>
              <w:overflowPunct/>
              <w:topLinePunct w:val="0"/>
              <w:autoSpaceDE/>
              <w:autoSpaceDN/>
              <w:bidi w:val="0"/>
              <w:snapToGrid w:val="0"/>
              <w:spacing w:line="320" w:lineRule="exact"/>
              <w:ind w:firstLine="205" w:firstLineChars="98"/>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（3）投标人的财务状况符合招标文件规定。</w:t>
            </w:r>
          </w:p>
          <w:p w14:paraId="5CA8FBBD">
            <w:pPr>
              <w:keepNext w:val="0"/>
              <w:keepLines w:val="0"/>
              <w:pageBreakBefore w:val="0"/>
              <w:tabs>
                <w:tab w:val="left" w:pos="3060"/>
              </w:tabs>
              <w:kinsoku/>
              <w:wordWrap/>
              <w:overflowPunct/>
              <w:topLinePunct w:val="0"/>
              <w:autoSpaceDE/>
              <w:autoSpaceDN/>
              <w:bidi w:val="0"/>
              <w:snapToGrid w:val="0"/>
              <w:spacing w:line="320" w:lineRule="exact"/>
              <w:ind w:firstLine="205" w:firstLineChars="98"/>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（4）投标人的业绩符合招标文件规定。</w:t>
            </w:r>
          </w:p>
          <w:p w14:paraId="59CE701A">
            <w:pPr>
              <w:keepNext w:val="0"/>
              <w:keepLines w:val="0"/>
              <w:pageBreakBefore w:val="0"/>
              <w:tabs>
                <w:tab w:val="left" w:pos="3060"/>
              </w:tabs>
              <w:kinsoku/>
              <w:wordWrap/>
              <w:overflowPunct/>
              <w:topLinePunct w:val="0"/>
              <w:autoSpaceDE/>
              <w:autoSpaceDN/>
              <w:bidi w:val="0"/>
              <w:snapToGrid w:val="0"/>
              <w:spacing w:line="320" w:lineRule="exact"/>
              <w:ind w:firstLine="205" w:firstLineChars="98"/>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（5）投标人的信誉符合招标文件规定。</w:t>
            </w:r>
          </w:p>
          <w:p w14:paraId="5FAF8B9B">
            <w:pPr>
              <w:keepNext w:val="0"/>
              <w:keepLines w:val="0"/>
              <w:pageBreakBefore w:val="0"/>
              <w:tabs>
                <w:tab w:val="left" w:pos="3060"/>
              </w:tabs>
              <w:kinsoku/>
              <w:wordWrap/>
              <w:overflowPunct/>
              <w:topLinePunct w:val="0"/>
              <w:autoSpaceDE/>
              <w:autoSpaceDN/>
              <w:bidi w:val="0"/>
              <w:snapToGrid w:val="0"/>
              <w:spacing w:line="320" w:lineRule="exact"/>
              <w:ind w:firstLine="205" w:firstLineChars="98"/>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（6）投标人的项目经理和项目总工资格符合招标文件规定。</w:t>
            </w:r>
          </w:p>
          <w:p w14:paraId="6C8BA44E">
            <w:pPr>
              <w:keepNext w:val="0"/>
              <w:keepLines w:val="0"/>
              <w:pageBreakBefore w:val="0"/>
              <w:widowControl/>
              <w:kinsoku/>
              <w:wordWrap/>
              <w:overflowPunct/>
              <w:topLinePunct w:val="0"/>
              <w:autoSpaceDE/>
              <w:autoSpaceDN/>
              <w:bidi w:val="0"/>
              <w:snapToGrid w:val="0"/>
              <w:spacing w:line="320" w:lineRule="exact"/>
              <w:ind w:firstLine="210" w:firstLineChars="100"/>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（7）投标人不存在第二章“投标人须知”第 1.4.3 项或第 1.4.4 项规定的任何一种情形。</w:t>
            </w:r>
          </w:p>
          <w:p w14:paraId="67E7280F">
            <w:pPr>
              <w:pStyle w:val="5"/>
              <w:pageBreakBefore w:val="0"/>
              <w:kinsoku/>
              <w:wordWrap/>
              <w:overflowPunct/>
              <w:topLinePunct w:val="0"/>
              <w:autoSpaceDE/>
              <w:autoSpaceDN/>
              <w:bidi w:val="0"/>
              <w:snapToGrid w:val="0"/>
              <w:spacing w:line="320" w:lineRule="exact"/>
              <w:ind w:firstLine="210" w:firstLineChars="100"/>
              <w:textAlignment w:val="auto"/>
              <w:rPr>
                <w:rFonts w:hint="eastAsia" w:ascii="宋体" w:hAnsi="宋体" w:eastAsia="宋体" w:cs="宋体"/>
                <w:sz w:val="21"/>
                <w:szCs w:val="21"/>
                <w:highlight w:val="none"/>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lang w:bidi="ar"/>
              </w:rPr>
              <w:t>投标人符合第二章“投标人须知”第1.4.5项规定。</w:t>
            </w:r>
          </w:p>
        </w:tc>
      </w:tr>
      <w:tr w14:paraId="4B3D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4764DCBF">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条款号</w:t>
            </w:r>
          </w:p>
        </w:tc>
        <w:tc>
          <w:tcPr>
            <w:tcW w:w="1317" w:type="dxa"/>
            <w:vAlign w:val="center"/>
          </w:tcPr>
          <w:p w14:paraId="037569A7">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条款内容</w:t>
            </w:r>
          </w:p>
        </w:tc>
        <w:tc>
          <w:tcPr>
            <w:tcW w:w="7197" w:type="dxa"/>
            <w:vAlign w:val="center"/>
          </w:tcPr>
          <w:p w14:paraId="4A62CC1D">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编列内容</w:t>
            </w:r>
          </w:p>
        </w:tc>
      </w:tr>
      <w:tr w14:paraId="0531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07F201B3">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2.2.1</w:t>
            </w:r>
          </w:p>
        </w:tc>
        <w:tc>
          <w:tcPr>
            <w:tcW w:w="1317" w:type="dxa"/>
            <w:vAlign w:val="center"/>
          </w:tcPr>
          <w:p w14:paraId="6A37EBD1">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分值构成</w:t>
            </w:r>
          </w:p>
          <w:p w14:paraId="7E5EAF2D">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（总分100分）</w:t>
            </w:r>
          </w:p>
        </w:tc>
        <w:tc>
          <w:tcPr>
            <w:tcW w:w="7197" w:type="dxa"/>
            <w:vAlign w:val="center"/>
          </w:tcPr>
          <w:p w14:paraId="7CDB53F8">
            <w:pPr>
              <w:keepNext w:val="0"/>
              <w:keepLines w:val="0"/>
              <w:pageBreakBefore w:val="0"/>
              <w:widowControl/>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评标价：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kern w:val="0"/>
                <w:sz w:val="21"/>
                <w:szCs w:val="21"/>
                <w:highlight w:val="none"/>
                <w14:textFill>
                  <w14:solidFill>
                    <w14:schemeClr w14:val="tx1"/>
                  </w14:solidFill>
                </w14:textFill>
              </w:rPr>
              <w:t>0分</w:t>
            </w:r>
          </w:p>
        </w:tc>
      </w:tr>
      <w:tr w14:paraId="10C0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50C12D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rPr>
              <w:t>2.2.2</w:t>
            </w:r>
          </w:p>
        </w:tc>
        <w:tc>
          <w:tcPr>
            <w:tcW w:w="1317" w:type="dxa"/>
            <w:vAlign w:val="center"/>
          </w:tcPr>
          <w:p w14:paraId="00DF915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rPr>
              <w:t>评标基准价计算方法</w:t>
            </w:r>
          </w:p>
        </w:tc>
        <w:tc>
          <w:tcPr>
            <w:tcW w:w="7197" w:type="dxa"/>
            <w:vAlign w:val="center"/>
          </w:tcPr>
          <w:p w14:paraId="5AFAE48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在开标现场，招标人将当场计算并宣布评标基准价。</w:t>
            </w:r>
          </w:p>
          <w:p w14:paraId="721AD40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spacing w:val="-4"/>
                <w:kern w:val="2"/>
                <w:sz w:val="21"/>
                <w:szCs w:val="21"/>
                <w:highlight w:val="none"/>
              </w:rPr>
            </w:pPr>
            <w:r>
              <w:rPr>
                <w:rFonts w:hint="eastAsia" w:ascii="宋体" w:hAnsi="宋体" w:eastAsia="宋体" w:cs="宋体"/>
                <w:b/>
                <w:bCs/>
                <w:spacing w:val="-4"/>
                <w:kern w:val="2"/>
                <w:sz w:val="21"/>
                <w:szCs w:val="21"/>
                <w:highlight w:val="none"/>
              </w:rPr>
              <w:t>（1）评标价的确定</w:t>
            </w:r>
            <w:r>
              <w:rPr>
                <w:rFonts w:hint="eastAsia" w:ascii="宋体" w:hAnsi="宋体" w:eastAsia="宋体" w:cs="宋体"/>
                <w:spacing w:val="-4"/>
                <w:kern w:val="2"/>
                <w:sz w:val="21"/>
                <w:szCs w:val="21"/>
                <w:highlight w:val="none"/>
              </w:rPr>
              <w:t>：评标价=投标函文字报价</w:t>
            </w:r>
          </w:p>
          <w:p w14:paraId="3A5295A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b/>
                <w:bCs/>
                <w:spacing w:val="-4"/>
                <w:kern w:val="2"/>
                <w:sz w:val="21"/>
                <w:szCs w:val="21"/>
                <w:highlight w:val="none"/>
              </w:rPr>
            </w:pPr>
            <w:r>
              <w:rPr>
                <w:rFonts w:hint="eastAsia" w:ascii="宋体" w:hAnsi="宋体" w:eastAsia="宋体" w:cs="宋体"/>
                <w:b/>
                <w:bCs/>
                <w:spacing w:val="-4"/>
                <w:kern w:val="2"/>
                <w:sz w:val="21"/>
                <w:szCs w:val="21"/>
                <w:highlight w:val="none"/>
              </w:rPr>
              <w:t>（2）评标价平均值的计算</w:t>
            </w:r>
          </w:p>
          <w:p w14:paraId="3CE42222">
            <w:pPr>
              <w:keepNext w:val="0"/>
              <w:keepLines w:val="0"/>
              <w:pageBreakBefore w:val="0"/>
              <w:widowControl w:val="0"/>
              <w:kinsoku/>
              <w:wordWrap/>
              <w:overflowPunct/>
              <w:topLinePunct w:val="0"/>
              <w:autoSpaceDE/>
              <w:autoSpaceDN/>
              <w:bidi w:val="0"/>
              <w:adjustRightInd/>
              <w:snapToGrid w:val="0"/>
              <w:spacing w:line="320" w:lineRule="exact"/>
              <w:ind w:firstLine="357" w:firstLineChars="177"/>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除按第二章“投标人须知”第5.2.4项规定开标现场被宣布为不进入评标基准价计算的投标报价之外，所有投标人的评标价去掉n1个最高评标价和n2个最低评标价后的算术平均值即为评标价平均值（评标价平均值保留小数点后两位，小数点后第三位四舍五入）：</w:t>
            </w:r>
          </w:p>
          <w:p w14:paraId="03E73578">
            <w:pPr>
              <w:keepNext w:val="0"/>
              <w:keepLines w:val="0"/>
              <w:pageBreakBefore w:val="0"/>
              <w:widowControl w:val="0"/>
              <w:kinsoku/>
              <w:wordWrap/>
              <w:overflowPunct/>
              <w:topLinePunct w:val="0"/>
              <w:autoSpaceDE/>
              <w:autoSpaceDN/>
              <w:bidi w:val="0"/>
              <w:adjustRightInd/>
              <w:snapToGrid w:val="0"/>
              <w:spacing w:line="320" w:lineRule="exact"/>
              <w:ind w:firstLine="357" w:firstLineChars="177"/>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如果参与评标价平均值计算的投标人数量＜6家时，n1=0，n2=0；</w:t>
            </w:r>
          </w:p>
          <w:p w14:paraId="52B3AC7B">
            <w:pPr>
              <w:keepNext w:val="0"/>
              <w:keepLines w:val="0"/>
              <w:pageBreakBefore w:val="0"/>
              <w:widowControl w:val="0"/>
              <w:kinsoku/>
              <w:wordWrap/>
              <w:overflowPunct/>
              <w:topLinePunct w:val="0"/>
              <w:autoSpaceDE/>
              <w:autoSpaceDN/>
              <w:bidi w:val="0"/>
              <w:adjustRightInd/>
              <w:snapToGrid w:val="0"/>
              <w:spacing w:line="320" w:lineRule="exact"/>
              <w:ind w:firstLine="357" w:firstLineChars="177"/>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6家≤参与评标价平均值计算的投标人数量＜10家时，n1=1，n2=1；</w:t>
            </w:r>
          </w:p>
          <w:p w14:paraId="35873CC6">
            <w:pPr>
              <w:keepNext w:val="0"/>
              <w:keepLines w:val="0"/>
              <w:pageBreakBefore w:val="0"/>
              <w:widowControl w:val="0"/>
              <w:kinsoku/>
              <w:wordWrap/>
              <w:overflowPunct/>
              <w:topLinePunct w:val="0"/>
              <w:autoSpaceDE/>
              <w:autoSpaceDN/>
              <w:bidi w:val="0"/>
              <w:adjustRightInd/>
              <w:snapToGrid w:val="0"/>
              <w:spacing w:line="320" w:lineRule="exact"/>
              <w:ind w:firstLine="357" w:firstLineChars="177"/>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10家≤参与评标价平均值计算的投标人数量＜20家时，n1=2，n2=2；</w:t>
            </w:r>
          </w:p>
          <w:p w14:paraId="1E382DE9">
            <w:pPr>
              <w:keepNext w:val="0"/>
              <w:keepLines w:val="0"/>
              <w:pageBreakBefore w:val="0"/>
              <w:widowControl w:val="0"/>
              <w:kinsoku/>
              <w:wordWrap/>
              <w:overflowPunct/>
              <w:topLinePunct w:val="0"/>
              <w:autoSpaceDE/>
              <w:autoSpaceDN/>
              <w:bidi w:val="0"/>
              <w:adjustRightInd/>
              <w:snapToGrid w:val="0"/>
              <w:spacing w:line="320" w:lineRule="exact"/>
              <w:ind w:firstLine="357" w:firstLineChars="177"/>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20家≤参与评标价平均值计算的投标人数量＜</w:t>
            </w:r>
            <w:r>
              <w:rPr>
                <w:rFonts w:hint="eastAsia" w:ascii="宋体" w:hAnsi="宋体" w:eastAsia="宋体" w:cs="宋体"/>
                <w:spacing w:val="-4"/>
                <w:kern w:val="2"/>
                <w:sz w:val="21"/>
                <w:szCs w:val="21"/>
                <w:highlight w:val="none"/>
                <w:lang w:val="en-US" w:eastAsia="zh-CN"/>
              </w:rPr>
              <w:t>3</w:t>
            </w:r>
            <w:r>
              <w:rPr>
                <w:rFonts w:hint="eastAsia" w:ascii="宋体" w:hAnsi="宋体" w:eastAsia="宋体" w:cs="宋体"/>
                <w:spacing w:val="-4"/>
                <w:kern w:val="2"/>
                <w:sz w:val="21"/>
                <w:szCs w:val="21"/>
                <w:highlight w:val="none"/>
              </w:rPr>
              <w:t>0家时，n1=3，n2=3；</w:t>
            </w:r>
          </w:p>
          <w:p w14:paraId="723DAEC3">
            <w:pPr>
              <w:keepNext w:val="0"/>
              <w:keepLines w:val="0"/>
              <w:pageBreakBefore w:val="0"/>
              <w:widowControl w:val="0"/>
              <w:kinsoku/>
              <w:wordWrap/>
              <w:overflowPunct/>
              <w:topLinePunct w:val="0"/>
              <w:autoSpaceDE/>
              <w:autoSpaceDN/>
              <w:bidi w:val="0"/>
              <w:adjustRightInd/>
              <w:snapToGrid w:val="0"/>
              <w:spacing w:line="320" w:lineRule="exact"/>
              <w:ind w:firstLine="357" w:firstLineChars="177"/>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参与评标价平均值计算的投标人数量≥</w:t>
            </w:r>
            <w:r>
              <w:rPr>
                <w:rFonts w:hint="eastAsia" w:ascii="宋体" w:hAnsi="宋体" w:eastAsia="宋体" w:cs="宋体"/>
                <w:spacing w:val="-4"/>
                <w:kern w:val="2"/>
                <w:sz w:val="21"/>
                <w:szCs w:val="21"/>
                <w:highlight w:val="none"/>
                <w:lang w:val="en-US" w:eastAsia="zh-CN"/>
              </w:rPr>
              <w:t>3</w:t>
            </w:r>
            <w:r>
              <w:rPr>
                <w:rFonts w:hint="eastAsia" w:ascii="宋体" w:hAnsi="宋体" w:eastAsia="宋体" w:cs="宋体"/>
                <w:spacing w:val="-4"/>
                <w:kern w:val="2"/>
                <w:sz w:val="21"/>
                <w:szCs w:val="21"/>
                <w:highlight w:val="none"/>
              </w:rPr>
              <w:t>0家时，n1=</w:t>
            </w:r>
            <w:r>
              <w:rPr>
                <w:rFonts w:hint="eastAsia" w:ascii="宋体" w:hAnsi="宋体" w:eastAsia="宋体" w:cs="宋体"/>
                <w:spacing w:val="-4"/>
                <w:kern w:val="2"/>
                <w:sz w:val="21"/>
                <w:szCs w:val="21"/>
                <w:highlight w:val="none"/>
                <w:lang w:val="en-US" w:eastAsia="zh-CN"/>
              </w:rPr>
              <w:t>4</w:t>
            </w:r>
            <w:r>
              <w:rPr>
                <w:rFonts w:hint="eastAsia" w:ascii="宋体" w:hAnsi="宋体" w:eastAsia="宋体" w:cs="宋体"/>
                <w:spacing w:val="-4"/>
                <w:kern w:val="2"/>
                <w:sz w:val="21"/>
                <w:szCs w:val="21"/>
                <w:highlight w:val="none"/>
              </w:rPr>
              <w:t>，n2=</w:t>
            </w:r>
            <w:r>
              <w:rPr>
                <w:rFonts w:hint="eastAsia" w:ascii="宋体" w:hAnsi="宋体" w:eastAsia="宋体" w:cs="宋体"/>
                <w:spacing w:val="-4"/>
                <w:kern w:val="2"/>
                <w:sz w:val="21"/>
                <w:szCs w:val="21"/>
                <w:highlight w:val="none"/>
                <w:lang w:val="en-US" w:eastAsia="zh-CN"/>
              </w:rPr>
              <w:t>4</w:t>
            </w:r>
            <w:r>
              <w:rPr>
                <w:rFonts w:hint="eastAsia" w:ascii="宋体" w:hAnsi="宋体" w:eastAsia="宋体" w:cs="宋体"/>
                <w:spacing w:val="-4"/>
                <w:kern w:val="2"/>
                <w:sz w:val="21"/>
                <w:szCs w:val="21"/>
                <w:highlight w:val="none"/>
              </w:rPr>
              <w:t>。</w:t>
            </w:r>
          </w:p>
          <w:p w14:paraId="119B6E58">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b/>
                <w:bCs/>
                <w:spacing w:val="-4"/>
                <w:kern w:val="2"/>
                <w:sz w:val="21"/>
                <w:szCs w:val="21"/>
                <w:highlight w:val="none"/>
              </w:rPr>
            </w:pPr>
            <w:r>
              <w:rPr>
                <w:rFonts w:hint="eastAsia" w:ascii="宋体" w:hAnsi="宋体" w:eastAsia="宋体" w:cs="宋体"/>
                <w:b/>
                <w:bCs/>
                <w:spacing w:val="-4"/>
                <w:kern w:val="2"/>
                <w:sz w:val="21"/>
                <w:szCs w:val="21"/>
                <w:highlight w:val="none"/>
              </w:rPr>
              <w:t>（3）评标基准价的确定</w:t>
            </w:r>
          </w:p>
          <w:p w14:paraId="4D6EEC4F">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将“评标价平均值”直接作为评标基准价。</w:t>
            </w:r>
          </w:p>
          <w:p w14:paraId="7D3B7966">
            <w:pPr>
              <w:keepNext w:val="0"/>
              <w:keepLines w:val="0"/>
              <w:pageBreakBefore w:val="0"/>
              <w:widowControl w:val="0"/>
              <w:kinsoku/>
              <w:wordWrap/>
              <w:overflowPunct/>
              <w:topLinePunct w:val="0"/>
              <w:autoSpaceDE/>
              <w:autoSpaceDN/>
              <w:bidi w:val="0"/>
              <w:adjustRightInd/>
              <w:snapToGrid w:val="0"/>
              <w:spacing w:line="320" w:lineRule="exact"/>
              <w:ind w:firstLine="404" w:firstLineChars="200"/>
              <w:jc w:val="left"/>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kern w:val="2"/>
                <w:sz w:val="21"/>
                <w:szCs w:val="21"/>
                <w:highlight w:val="none"/>
              </w:rPr>
              <w:t>评标基准价保留小数点后两位，小数点后第三位四舍五入。</w:t>
            </w:r>
          </w:p>
          <w:p w14:paraId="74B439E3">
            <w:pPr>
              <w:pStyle w:val="5"/>
              <w:pageBreakBefore w:val="0"/>
              <w:kinsoku/>
              <w:wordWrap/>
              <w:overflowPunct/>
              <w:topLinePunct w:val="0"/>
              <w:autoSpaceDE/>
              <w:autoSpaceDN/>
              <w:bidi w:val="0"/>
              <w:snapToGrid w:val="0"/>
              <w:spacing w:line="32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BF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5025611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rPr>
              <w:t>2.2.3</w:t>
            </w:r>
          </w:p>
        </w:tc>
        <w:tc>
          <w:tcPr>
            <w:tcW w:w="1317" w:type="dxa"/>
            <w:vAlign w:val="center"/>
          </w:tcPr>
          <w:p w14:paraId="45098053">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rPr>
              <w:t>评标价的偏差率计算公式</w:t>
            </w:r>
          </w:p>
        </w:tc>
        <w:tc>
          <w:tcPr>
            <w:tcW w:w="7197" w:type="dxa"/>
            <w:vAlign w:val="center"/>
          </w:tcPr>
          <w:p w14:paraId="6A61FBA3">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rPr>
              <w:t>偏差率=100%×（投标人评标价-评标基准价）/评标基准价</w:t>
            </w:r>
          </w:p>
        </w:tc>
      </w:tr>
      <w:tr w14:paraId="2045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574" w:hRule="atLeast"/>
          <w:jc w:val="center"/>
        </w:trPr>
        <w:tc>
          <w:tcPr>
            <w:tcW w:w="1143" w:type="dxa"/>
            <w:vAlign w:val="center"/>
          </w:tcPr>
          <w:p w14:paraId="4E532C4C">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rPr>
              <w:t>3.5.1</w:t>
            </w:r>
          </w:p>
        </w:tc>
        <w:tc>
          <w:tcPr>
            <w:tcW w:w="1317" w:type="dxa"/>
            <w:vAlign w:val="center"/>
          </w:tcPr>
          <w:p w14:paraId="67D74B21">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sz w:val="21"/>
                <w:szCs w:val="21"/>
                <w:highlight w:val="none"/>
                <w:lang w:bidi="ar"/>
              </w:rPr>
              <w:t>投标文件相关信息的核查</w:t>
            </w:r>
          </w:p>
        </w:tc>
        <w:tc>
          <w:tcPr>
            <w:tcW w:w="7197" w:type="dxa"/>
            <w:vAlign w:val="center"/>
          </w:tcPr>
          <w:p w14:paraId="13AEADF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sz w:val="21"/>
                <w:szCs w:val="21"/>
                <w:highlight w:val="none"/>
                <w:lang w:bidi="ar"/>
              </w:rPr>
            </w:pPr>
            <w:r>
              <w:rPr>
                <w:rFonts w:hint="eastAsia" w:ascii="宋体" w:hAnsi="宋体" w:eastAsia="宋体" w:cs="宋体"/>
                <w:b/>
                <w:sz w:val="21"/>
                <w:szCs w:val="21"/>
                <w:highlight w:val="none"/>
                <w:lang w:bidi="ar"/>
              </w:rPr>
              <w:t>本款修改为：</w:t>
            </w:r>
          </w:p>
          <w:p w14:paraId="2B7E07C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在评标过程中，评标委员会应对以下信息进行查询：</w:t>
            </w:r>
          </w:p>
          <w:p w14:paraId="467B65E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（1）投标人名称和资质与“全国公路建设市场监督管理系统（https：//hwdms.mot.gov.cn/）”中的公路工程施工资质企业名录复核结果一致；</w:t>
            </w:r>
          </w:p>
          <w:p w14:paraId="772FC56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（2）投标人的类似项目业绩详细信息网页截图的内容与“全国公路建设市场监督管理系统（https：//hwdms.mot.gov.cn/）”的复核结果一致；</w:t>
            </w:r>
          </w:p>
          <w:p w14:paraId="2C86D9B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（3）所附项目</w:t>
            </w:r>
            <w:r>
              <w:rPr>
                <w:rFonts w:hint="eastAsia" w:ascii="宋体" w:hAnsi="宋体" w:eastAsia="宋体" w:cs="宋体"/>
                <w:sz w:val="21"/>
                <w:szCs w:val="21"/>
                <w:highlight w:val="none"/>
                <w:lang w:val="en-US" w:eastAsia="zh-CN" w:bidi="ar"/>
              </w:rPr>
              <w:t>经理</w:t>
            </w:r>
            <w:r>
              <w:rPr>
                <w:rFonts w:hint="eastAsia" w:ascii="宋体" w:hAnsi="宋体" w:eastAsia="宋体" w:cs="宋体"/>
                <w:sz w:val="21"/>
                <w:szCs w:val="21"/>
                <w:highlight w:val="none"/>
                <w:lang w:bidi="ar"/>
              </w:rPr>
              <w:t>的一级注册建造师登记信息的网页截图扫描件与“全国建筑市场监管公共服务平台（https://jzsc.mohurd.gov.cn/home）”的复核结果一致；所附项目</w:t>
            </w:r>
            <w:r>
              <w:rPr>
                <w:rFonts w:hint="eastAsia" w:ascii="宋体" w:hAnsi="宋体" w:eastAsia="宋体" w:cs="宋体"/>
                <w:sz w:val="21"/>
                <w:szCs w:val="21"/>
                <w:highlight w:val="none"/>
                <w:lang w:val="en-US" w:eastAsia="zh-CN" w:bidi="ar"/>
              </w:rPr>
              <w:t>经理</w:t>
            </w:r>
            <w:r>
              <w:rPr>
                <w:rFonts w:hint="eastAsia" w:ascii="宋体" w:hAnsi="宋体" w:eastAsia="宋体" w:cs="宋体"/>
                <w:sz w:val="21"/>
                <w:szCs w:val="21"/>
                <w:highlight w:val="none"/>
                <w:lang w:bidi="ar"/>
              </w:rPr>
              <w:t>、</w:t>
            </w:r>
            <w:r>
              <w:rPr>
                <w:rFonts w:hint="eastAsia" w:ascii="宋体" w:hAnsi="宋体" w:eastAsia="宋体" w:cs="宋体"/>
                <w:sz w:val="21"/>
                <w:szCs w:val="21"/>
                <w:highlight w:val="none"/>
                <w:lang w:val="en-US" w:eastAsia="zh-CN" w:bidi="ar"/>
              </w:rPr>
              <w:t>项目总工</w:t>
            </w:r>
            <w:r>
              <w:rPr>
                <w:rFonts w:hint="eastAsia" w:ascii="宋体" w:hAnsi="宋体" w:eastAsia="宋体" w:cs="宋体"/>
                <w:sz w:val="21"/>
                <w:szCs w:val="21"/>
                <w:highlight w:val="none"/>
                <w:lang w:bidi="ar"/>
              </w:rPr>
              <w:t>业绩的网页截图复印件与“全国公路建设市场监督管理系统（https：//hwdms.mot.gov.cn/）”复核的结果一致；</w:t>
            </w:r>
          </w:p>
          <w:p w14:paraId="126C233C">
            <w:pPr>
              <w:pStyle w:val="2"/>
              <w:pageBreakBefore w:val="0"/>
              <w:kinsoku/>
              <w:wordWrap/>
              <w:overflowPunct/>
              <w:topLinePunct w:val="0"/>
              <w:autoSpaceDE/>
              <w:autoSpaceDN/>
              <w:bidi w:val="0"/>
              <w:snapToGrid w:val="0"/>
              <w:spacing w:before="0" w:after="0" w:line="320" w:lineRule="exact"/>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b w:val="0"/>
                <w:bCs w:val="0"/>
                <w:sz w:val="21"/>
                <w:szCs w:val="21"/>
                <w:highlight w:val="none"/>
              </w:rPr>
              <w:t>投标人应当及时核查并更新相应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63E36F6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（4）投标人信用情况网页截图内容与在“国家企业信用信息公示系统”中严重违法失信名单（黑名单）信息（不含分公司）</w:t>
            </w:r>
            <w:r>
              <w:rPr>
                <w:rFonts w:hint="eastAsia" w:ascii="宋体" w:hAnsi="宋体" w:eastAsia="宋体" w:cs="宋体"/>
                <w:sz w:val="21"/>
                <w:szCs w:val="21"/>
                <w:highlight w:val="none"/>
                <w:lang w:val="en-US" w:eastAsia="zh-CN" w:bidi="ar"/>
              </w:rPr>
              <w:t>和</w:t>
            </w:r>
            <w:r>
              <w:rPr>
                <w:rFonts w:hint="eastAsia" w:ascii="宋体" w:hAnsi="宋体" w:eastAsia="宋体" w:cs="宋体"/>
                <w:sz w:val="21"/>
                <w:szCs w:val="21"/>
                <w:highlight w:val="none"/>
                <w:lang w:bidi="ar"/>
              </w:rPr>
              <w:t>在“信用中国”网站中“失信被执行人、经营</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活动</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异常名录、重大税收违法失信主体、政府采购严重违法失信行为记录名单和安全生产严重失信主体名单（均不含分公司）的复核结果一致。</w:t>
            </w:r>
          </w:p>
          <w:p w14:paraId="76DE36BB">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jc w:val="left"/>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前述（1）、（2）、（3）、（4）项如投标人未提供相关网页截图或所附截图与复核结果不一致</w:t>
            </w:r>
            <w:r>
              <w:rPr>
                <w:rFonts w:hint="eastAsia" w:ascii="宋体" w:hAnsi="宋体" w:cs="宋体"/>
                <w:sz w:val="21"/>
                <w:szCs w:val="21"/>
                <w:highlight w:val="none"/>
                <w:lang w:eastAsia="zh-CN" w:bidi="ar"/>
              </w:rPr>
              <w:t>导致不满足资格评审要求的</w:t>
            </w:r>
            <w:r>
              <w:rPr>
                <w:rFonts w:hint="eastAsia" w:ascii="宋体" w:hAnsi="宋体" w:eastAsia="宋体" w:cs="宋体"/>
                <w:sz w:val="21"/>
                <w:szCs w:val="21"/>
                <w:highlight w:val="none"/>
                <w:lang w:bidi="ar"/>
              </w:rPr>
              <w:t>，评标委员会应否决其投标。</w:t>
            </w:r>
          </w:p>
          <w:p w14:paraId="32B253E8">
            <w:pPr>
              <w:numPr>
                <w:ilvl w:val="0"/>
                <w:numId w:val="0"/>
              </w:numPr>
              <w:adjustRightInd w:val="0"/>
              <w:snapToGrid w:val="0"/>
              <w:spacing w:line="32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bidi="ar"/>
              </w:rPr>
              <w:t>（4）</w:t>
            </w:r>
            <w:r>
              <w:rPr>
                <w:rFonts w:hint="eastAsia" w:ascii="宋体" w:hAnsi="宋体" w:eastAsia="宋体" w:cs="宋体"/>
                <w:spacing w:val="-4"/>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7490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vAlign w:val="center"/>
          </w:tcPr>
          <w:p w14:paraId="2FA221BE">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条款号</w:t>
            </w:r>
          </w:p>
        </w:tc>
        <w:tc>
          <w:tcPr>
            <w:tcW w:w="1317" w:type="dxa"/>
            <w:vAlign w:val="center"/>
          </w:tcPr>
          <w:p w14:paraId="71E515BF">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 w:val="21"/>
                <w:szCs w:val="21"/>
                <w:highlight w:val="none"/>
                <w:lang w:val="en-US" w:eastAsia="zh-CN" w:bidi="ar"/>
              </w:rPr>
            </w:pPr>
            <w:r>
              <w:rPr>
                <w:rFonts w:hint="eastAsia" w:ascii="宋体" w:hAnsi="宋体" w:eastAsia="宋体" w:cs="宋体"/>
                <w:sz w:val="21"/>
                <w:szCs w:val="21"/>
                <w:highlight w:val="none"/>
                <w:lang w:val="en-US" w:eastAsia="zh-CN" w:bidi="ar"/>
              </w:rPr>
              <w:t>评分因素</w:t>
            </w:r>
          </w:p>
        </w:tc>
        <w:tc>
          <w:tcPr>
            <w:tcW w:w="7197" w:type="dxa"/>
            <w:vAlign w:val="center"/>
          </w:tcPr>
          <w:p w14:paraId="137D3C0D">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 w:val="21"/>
                <w:szCs w:val="21"/>
                <w:highlight w:val="none"/>
                <w:lang w:val="en-US" w:eastAsia="zh-CN" w:bidi="ar"/>
              </w:rPr>
            </w:pPr>
            <w:r>
              <w:rPr>
                <w:rFonts w:hint="eastAsia" w:ascii="宋体" w:hAnsi="宋体" w:eastAsia="宋体" w:cs="宋体"/>
                <w:sz w:val="21"/>
                <w:szCs w:val="21"/>
                <w:highlight w:val="none"/>
                <w:lang w:val="en-US" w:eastAsia="zh-CN" w:bidi="ar"/>
              </w:rPr>
              <w:t>评分标准</w:t>
            </w:r>
          </w:p>
        </w:tc>
      </w:tr>
      <w:tr w14:paraId="0E6A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30" w:hRule="atLeast"/>
          <w:jc w:val="center"/>
        </w:trPr>
        <w:tc>
          <w:tcPr>
            <w:tcW w:w="1143" w:type="dxa"/>
            <w:vAlign w:val="center"/>
          </w:tcPr>
          <w:p w14:paraId="454C9B1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rPr>
              <w:t>2.2.4</w:t>
            </w:r>
          </w:p>
        </w:tc>
        <w:tc>
          <w:tcPr>
            <w:tcW w:w="1317" w:type="dxa"/>
            <w:vAlign w:val="center"/>
          </w:tcPr>
          <w:p w14:paraId="67BE1DF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sz w:val="21"/>
                <w:szCs w:val="21"/>
                <w:highlight w:val="none"/>
                <w:lang w:bidi="ar"/>
              </w:rPr>
            </w:pPr>
            <w:r>
              <w:rPr>
                <w:rFonts w:hint="eastAsia" w:ascii="宋体" w:hAnsi="宋体" w:eastAsia="宋体" w:cs="宋体"/>
                <w:kern w:val="2"/>
                <w:sz w:val="21"/>
                <w:szCs w:val="21"/>
                <w:highlight w:val="none"/>
              </w:rPr>
              <w:t>评标价</w:t>
            </w:r>
          </w:p>
        </w:tc>
        <w:tc>
          <w:tcPr>
            <w:tcW w:w="7197" w:type="dxa"/>
            <w:vAlign w:val="center"/>
          </w:tcPr>
          <w:p w14:paraId="408E070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100分</w:t>
            </w:r>
          </w:p>
          <w:p w14:paraId="19655C8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评标价得分计算公式：</w:t>
            </w:r>
          </w:p>
          <w:p w14:paraId="71E0EE79">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（1）如果投标人的评标价＞评标基准价，则评标价得分=</w:t>
            </w:r>
            <w:r>
              <w:rPr>
                <w:rFonts w:hint="eastAsia" w:ascii="宋体" w:hAnsi="宋体" w:eastAsia="宋体" w:cs="宋体"/>
                <w:kern w:val="2"/>
                <w:sz w:val="21"/>
                <w:szCs w:val="21"/>
                <w:highlight w:val="none"/>
                <w:lang w:val="en-US" w:eastAsia="zh-CN"/>
              </w:rPr>
              <w:t>100</w:t>
            </w:r>
            <w:r>
              <w:rPr>
                <w:rFonts w:hint="eastAsia" w:ascii="宋体" w:hAnsi="宋体" w:eastAsia="宋体" w:cs="宋体"/>
                <w:kern w:val="2"/>
                <w:sz w:val="21"/>
                <w:szCs w:val="21"/>
                <w:highlight w:val="none"/>
              </w:rPr>
              <w:t>-偏差率×100×E</w:t>
            </w:r>
            <w:r>
              <w:rPr>
                <w:rFonts w:hint="eastAsia" w:ascii="宋体" w:hAnsi="宋体" w:eastAsia="宋体" w:cs="宋体"/>
                <w:kern w:val="2"/>
                <w:sz w:val="21"/>
                <w:szCs w:val="21"/>
                <w:highlight w:val="none"/>
                <w:vertAlign w:val="subscript"/>
              </w:rPr>
              <w:t>1</w:t>
            </w:r>
            <w:r>
              <w:rPr>
                <w:rFonts w:hint="eastAsia" w:ascii="宋体" w:hAnsi="宋体" w:eastAsia="宋体" w:cs="宋体"/>
                <w:kern w:val="2"/>
                <w:sz w:val="21"/>
                <w:szCs w:val="21"/>
                <w:highlight w:val="none"/>
              </w:rPr>
              <w:t>；</w:t>
            </w:r>
          </w:p>
          <w:p w14:paraId="0564818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（2）如果投标人的评标价≤评标基准价，则评标价得分=</w:t>
            </w:r>
            <w:r>
              <w:rPr>
                <w:rFonts w:hint="eastAsia" w:ascii="宋体" w:hAnsi="宋体" w:eastAsia="宋体" w:cs="宋体"/>
                <w:kern w:val="2"/>
                <w:sz w:val="21"/>
                <w:szCs w:val="21"/>
                <w:highlight w:val="none"/>
                <w:lang w:val="en-US" w:eastAsia="zh-CN"/>
              </w:rPr>
              <w:t>100</w:t>
            </w:r>
            <w:r>
              <w:rPr>
                <w:rFonts w:hint="eastAsia" w:ascii="宋体" w:hAnsi="宋体" w:eastAsia="宋体" w:cs="宋体"/>
                <w:kern w:val="2"/>
                <w:sz w:val="21"/>
                <w:szCs w:val="21"/>
                <w:highlight w:val="none"/>
              </w:rPr>
              <w:t>+偏差率×100×E</w:t>
            </w:r>
            <w:r>
              <w:rPr>
                <w:rFonts w:hint="eastAsia" w:ascii="宋体" w:hAnsi="宋体" w:eastAsia="宋体" w:cs="宋体"/>
                <w:kern w:val="2"/>
                <w:sz w:val="21"/>
                <w:szCs w:val="21"/>
                <w:highlight w:val="none"/>
                <w:vertAlign w:val="subscript"/>
              </w:rPr>
              <w:t>2</w:t>
            </w:r>
            <w:r>
              <w:rPr>
                <w:rFonts w:hint="eastAsia" w:ascii="宋体" w:hAnsi="宋体" w:eastAsia="宋体" w:cs="宋体"/>
                <w:kern w:val="2"/>
                <w:sz w:val="21"/>
                <w:szCs w:val="21"/>
                <w:highlight w:val="none"/>
              </w:rPr>
              <w:t>。</w:t>
            </w:r>
          </w:p>
          <w:p w14:paraId="7EA07CD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其中，E1是评标价每高于评标基准价一个百分点的扣分值，E1＝2；E2是评标价每低于评标基准价一个百分点的扣分值，E2＝1。</w:t>
            </w:r>
          </w:p>
          <w:p w14:paraId="5C91D99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sz w:val="21"/>
                <w:szCs w:val="21"/>
                <w:highlight w:val="none"/>
                <w:lang w:bidi="ar"/>
              </w:rPr>
            </w:pPr>
            <w:r>
              <w:rPr>
                <w:rFonts w:hint="eastAsia" w:ascii="宋体" w:hAnsi="宋体" w:eastAsia="宋体" w:cs="宋体"/>
                <w:kern w:val="2"/>
                <w:sz w:val="21"/>
                <w:szCs w:val="21"/>
                <w:highlight w:val="none"/>
              </w:rPr>
              <w:t>评标价最低得分为0分。评标价得分保留两位小数，第三位四舍五入。</w:t>
            </w:r>
          </w:p>
        </w:tc>
      </w:tr>
      <w:tr w14:paraId="078A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92" w:hRule="atLeast"/>
          <w:jc w:val="center"/>
        </w:trPr>
        <w:tc>
          <w:tcPr>
            <w:tcW w:w="9657" w:type="dxa"/>
            <w:gridSpan w:val="3"/>
            <w:vAlign w:val="center"/>
          </w:tcPr>
          <w:p w14:paraId="48D72DB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需要补充的其他内容：无</w:t>
            </w:r>
          </w:p>
        </w:tc>
      </w:tr>
    </w:tbl>
    <w:p w14:paraId="52EC023C"/>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554854"/>
    <w:rsid w:val="183A4303"/>
    <w:rsid w:val="2F8266AE"/>
    <w:rsid w:val="40355958"/>
    <w:rsid w:val="4C352402"/>
    <w:rsid w:val="63CA1F78"/>
    <w:rsid w:val="7AF75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paragraph" w:styleId="4">
    <w:name w:val="heading 6"/>
    <w:basedOn w:val="1"/>
    <w:next w:val="1"/>
    <w:qFormat/>
    <w:uiPriority w:val="0"/>
    <w:pPr>
      <w:keepNext/>
      <w:keepLines/>
      <w:spacing w:before="240" w:after="64" w:line="320" w:lineRule="auto"/>
      <w:outlineLvl w:val="5"/>
    </w:pPr>
    <w:rPr>
      <w:rFonts w:ascii="等线 Light" w:hAnsi="等线 Light" w:eastAsia="等线 Light"/>
      <w:b/>
      <w:bCs/>
      <w:sz w:val="24"/>
      <w:szCs w:val="24"/>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next w:val="6"/>
    <w:qFormat/>
    <w:uiPriority w:val="0"/>
    <w:rPr>
      <w:kern w:val="2"/>
      <w:szCs w:val="24"/>
    </w:rPr>
  </w:style>
  <w:style w:type="paragraph" w:styleId="6">
    <w:name w:val="Body Text 2"/>
    <w:basedOn w:val="1"/>
    <w:qFormat/>
    <w:uiPriority w:val="0"/>
    <w:rPr>
      <w:kern w:val="2"/>
    </w:rPr>
  </w:style>
  <w:style w:type="paragraph" w:styleId="7">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5719</Words>
  <Characters>6309</Characters>
  <Lines>0</Lines>
  <Paragraphs>0</Paragraphs>
  <TotalTime>1</TotalTime>
  <ScaleCrop>false</ScaleCrop>
  <LinksUpToDate>false</LinksUpToDate>
  <CharactersWithSpaces>6340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2025-11-20T00:42:39Z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