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94CE1">
      <w:pPr>
        <w:wordWrap w:val="0"/>
        <w:outlineLvl w:val="3"/>
        <w:rPr>
          <w:b/>
          <w:color w:val="000000"/>
          <w:sz w:val="24"/>
          <w:szCs w:val="24"/>
          <w:highlight w:val="none"/>
        </w:rPr>
      </w:pPr>
      <w:bookmarkStart w:id="1" w:name="_GoBack"/>
      <w:bookmarkEnd w:id="1"/>
      <w:r>
        <w:rPr>
          <w:b/>
          <w:color w:val="000000"/>
          <w:sz w:val="24"/>
          <w:szCs w:val="24"/>
          <w:highlight w:val="none"/>
        </w:rPr>
        <w:t>附件1：</w:t>
      </w:r>
      <w:bookmarkStart w:id="0" w:name="_Toc404712451"/>
      <w:r>
        <w:rPr>
          <w:b/>
          <w:color w:val="000000"/>
          <w:sz w:val="24"/>
          <w:szCs w:val="24"/>
          <w:highlight w:val="none"/>
        </w:rPr>
        <w:t>资格审查条件</w:t>
      </w:r>
      <w:bookmarkEnd w:id="0"/>
    </w:p>
    <w:p w14:paraId="1DCCD1D3">
      <w:pPr>
        <w:wordWrap w:val="0"/>
        <w:rPr>
          <w:b/>
          <w:color w:val="000000"/>
          <w:sz w:val="28"/>
          <w:szCs w:val="28"/>
          <w:highlight w:val="none"/>
        </w:rPr>
      </w:pPr>
    </w:p>
    <w:p w14:paraId="490790BA">
      <w:pPr>
        <w:wordWrap w:val="0"/>
        <w:jc w:val="center"/>
        <w:rPr>
          <w:color w:val="000000"/>
          <w:highlight w:val="none"/>
        </w:rPr>
      </w:pPr>
      <w:r>
        <w:rPr>
          <w:b/>
          <w:color w:val="000000"/>
          <w:sz w:val="24"/>
          <w:highlight w:val="none"/>
        </w:rPr>
        <w:t>附录1  资格审查条件（资质最低要求）</w:t>
      </w:r>
    </w:p>
    <w:tbl>
      <w:tblPr>
        <w:tblStyle w:val="5"/>
        <w:tblpPr w:leftFromText="181" w:rightFromText="181" w:vertAnchor="text" w:horzAnchor="margin" w:tblpXSpec="center" w:tblpY="30"/>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28" w:type="dxa"/>
          <w:left w:w="28" w:type="dxa"/>
          <w:bottom w:w="28" w:type="dxa"/>
          <w:right w:w="28" w:type="dxa"/>
        </w:tblCellMar>
      </w:tblPr>
      <w:tblGrid>
        <w:gridCol w:w="9036"/>
      </w:tblGrid>
      <w:tr w14:paraId="5E4F5F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542" w:hRule="atLeast"/>
          <w:tblHeader/>
        </w:trPr>
        <w:tc>
          <w:tcPr>
            <w:tcW w:w="5000" w:type="pct"/>
            <w:noWrap w:val="0"/>
            <w:vAlign w:val="center"/>
          </w:tcPr>
          <w:p w14:paraId="05717E63">
            <w:pPr>
              <w:wordWrap w:val="0"/>
              <w:adjustRightInd w:val="0"/>
              <w:snapToGrid w:val="0"/>
              <w:jc w:val="center"/>
              <w:rPr>
                <w:b/>
                <w:bCs/>
                <w:color w:val="000000"/>
                <w:szCs w:val="21"/>
                <w:highlight w:val="none"/>
              </w:rPr>
            </w:pPr>
            <w:r>
              <w:rPr>
                <w:b/>
                <w:bCs/>
                <w:color w:val="000000"/>
                <w:szCs w:val="21"/>
                <w:highlight w:val="none"/>
              </w:rPr>
              <w:t>资质要求</w:t>
            </w:r>
          </w:p>
        </w:tc>
      </w:tr>
      <w:tr w14:paraId="41980A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1358" w:hRule="atLeast"/>
        </w:trPr>
        <w:tc>
          <w:tcPr>
            <w:tcW w:w="5000" w:type="pct"/>
            <w:noWrap w:val="0"/>
            <w:vAlign w:val="center"/>
          </w:tcPr>
          <w:p w14:paraId="255D2E2B">
            <w:pPr>
              <w:wordWrap w:val="0"/>
              <w:adjustRightInd w:val="0"/>
              <w:snapToGrid w:val="0"/>
              <w:rPr>
                <w:rFonts w:hint="eastAsia"/>
                <w:highlight w:val="none"/>
                <w:lang w:eastAsia="zh-CN"/>
              </w:rPr>
            </w:pPr>
            <w:r>
              <w:rPr>
                <w:rFonts w:hint="eastAsia"/>
                <w:highlight w:val="none"/>
              </w:rPr>
              <w:t>投标人须为具备独立企业法人资格的制造商或授权代理商，具有有效的营业执照</w:t>
            </w:r>
            <w:r>
              <w:rPr>
                <w:rFonts w:hint="eastAsia"/>
                <w:highlight w:val="none"/>
                <w:lang w:eastAsia="zh-CN"/>
              </w:rPr>
              <w:t>。</w:t>
            </w:r>
          </w:p>
          <w:p w14:paraId="6AFE417C">
            <w:pPr>
              <w:wordWrap w:val="0"/>
              <w:adjustRightInd w:val="0"/>
              <w:snapToGrid w:val="0"/>
              <w:rPr>
                <w:rFonts w:hint="default" w:eastAsia="宋体"/>
                <w:color w:val="000000"/>
                <w:highlight w:val="none"/>
                <w:lang w:val="en-US" w:eastAsia="zh-CN"/>
              </w:rPr>
            </w:pPr>
            <w:r>
              <w:rPr>
                <w:rFonts w:hint="eastAsia"/>
                <w:szCs w:val="21"/>
                <w:highlight w:val="none"/>
                <w:lang w:val="en-US" w:eastAsia="zh-CN"/>
              </w:rPr>
              <w:t>投标人如为授权代理商，</w:t>
            </w:r>
            <w:r>
              <w:rPr>
                <w:highlight w:val="none"/>
              </w:rPr>
              <w:t>应持有制造商针对本项目的唯一授权</w:t>
            </w:r>
            <w:r>
              <w:rPr>
                <w:rFonts w:hint="eastAsia"/>
                <w:kern w:val="0"/>
                <w:sz w:val="21"/>
                <w:szCs w:val="21"/>
                <w:highlight w:val="none"/>
                <w:lang w:eastAsia="zh-CN"/>
              </w:rPr>
              <w:t>（</w:t>
            </w:r>
            <w:r>
              <w:rPr>
                <w:rFonts w:hint="eastAsia"/>
                <w:b/>
                <w:bCs/>
                <w:kern w:val="0"/>
                <w:sz w:val="21"/>
                <w:szCs w:val="21"/>
                <w:highlight w:val="none"/>
                <w:lang w:val="en-US" w:eastAsia="zh-CN"/>
              </w:rPr>
              <w:t>仅限招标公告“采购清单</w:t>
            </w:r>
            <w:r>
              <w:rPr>
                <w:rFonts w:hint="eastAsia" w:ascii="宋体" w:hAnsi="宋体" w:cs="仿宋"/>
                <w:b/>
                <w:bCs/>
                <w:kern w:val="0"/>
                <w:sz w:val="21"/>
                <w:szCs w:val="21"/>
                <w:highlight w:val="none"/>
                <w:lang w:eastAsia="zh-CN"/>
              </w:rPr>
              <w:t>”</w:t>
            </w:r>
            <w:r>
              <w:rPr>
                <w:rFonts w:hint="eastAsia" w:ascii="宋体" w:hAnsi="宋体" w:cs="仿宋"/>
                <w:b/>
                <w:bCs/>
                <w:kern w:val="0"/>
                <w:sz w:val="21"/>
                <w:szCs w:val="21"/>
                <w:highlight w:val="none"/>
                <w:lang w:val="en-US" w:eastAsia="zh-CN"/>
              </w:rPr>
              <w:t>中加“</w:t>
            </w:r>
            <w:r>
              <w:rPr>
                <w:rFonts w:hint="eastAsia" w:ascii="宋体" w:hAnsi="宋体" w:eastAsia="宋体" w:cs="宋体"/>
                <w:b/>
                <w:bCs/>
                <w:sz w:val="21"/>
                <w:szCs w:val="21"/>
                <w:highlight w:val="none"/>
              </w:rPr>
              <w:t>★</w:t>
            </w:r>
            <w:r>
              <w:rPr>
                <w:rFonts w:hint="eastAsia" w:ascii="宋体" w:hAnsi="宋体" w:cs="仿宋"/>
                <w:b/>
                <w:bCs/>
                <w:kern w:val="0"/>
                <w:sz w:val="21"/>
                <w:szCs w:val="21"/>
                <w:highlight w:val="none"/>
                <w:lang w:val="en-US" w:eastAsia="zh-CN"/>
              </w:rPr>
              <w:t>”设备</w:t>
            </w:r>
            <w:r>
              <w:rPr>
                <w:rFonts w:hint="eastAsia"/>
                <w:kern w:val="0"/>
                <w:sz w:val="21"/>
                <w:szCs w:val="21"/>
                <w:highlight w:val="none"/>
                <w:lang w:eastAsia="zh-CN"/>
              </w:rPr>
              <w:t>）</w:t>
            </w:r>
            <w:r>
              <w:rPr>
                <w:highlight w:val="none"/>
              </w:rPr>
              <w:t>；其代理的制造商须满足上述投标人为制造商的资质要求。</w:t>
            </w:r>
          </w:p>
        </w:tc>
      </w:tr>
    </w:tbl>
    <w:p w14:paraId="69F51372">
      <w:pPr>
        <w:wordWrap w:val="0"/>
        <w:jc w:val="center"/>
        <w:rPr>
          <w:b/>
          <w:color w:val="000000"/>
          <w:sz w:val="24"/>
          <w:highlight w:val="none"/>
        </w:rPr>
      </w:pPr>
    </w:p>
    <w:p w14:paraId="247B600D">
      <w:pPr>
        <w:wordWrap w:val="0"/>
        <w:jc w:val="center"/>
        <w:rPr>
          <w:b/>
          <w:color w:val="000000"/>
          <w:sz w:val="24"/>
          <w:highlight w:val="none"/>
        </w:rPr>
      </w:pPr>
    </w:p>
    <w:p w14:paraId="4DD29A4E">
      <w:pPr>
        <w:wordWrap w:val="0"/>
        <w:jc w:val="both"/>
        <w:rPr>
          <w:b/>
          <w:color w:val="000000"/>
          <w:sz w:val="24"/>
          <w:highlight w:val="none"/>
        </w:rPr>
      </w:pPr>
    </w:p>
    <w:p w14:paraId="30196222">
      <w:pPr>
        <w:wordWrap w:val="0"/>
        <w:jc w:val="center"/>
        <w:rPr>
          <w:b/>
          <w:color w:val="000000"/>
          <w:sz w:val="24"/>
          <w:highlight w:val="none"/>
        </w:rPr>
      </w:pPr>
      <w:r>
        <w:rPr>
          <w:b/>
          <w:color w:val="000000"/>
          <w:sz w:val="24"/>
          <w:highlight w:val="none"/>
        </w:rPr>
        <w:t>附录</w:t>
      </w:r>
      <w:r>
        <w:rPr>
          <w:rFonts w:hint="eastAsia"/>
          <w:b/>
          <w:color w:val="000000"/>
          <w:sz w:val="24"/>
          <w:highlight w:val="none"/>
          <w:lang w:val="en-US" w:eastAsia="zh-CN"/>
        </w:rPr>
        <w:t>2</w:t>
      </w:r>
      <w:r>
        <w:rPr>
          <w:b/>
          <w:color w:val="000000"/>
          <w:sz w:val="24"/>
          <w:highlight w:val="none"/>
        </w:rPr>
        <w:t xml:space="preserve">  资格审查条件（业绩最低要求）</w:t>
      </w:r>
    </w:p>
    <w:tbl>
      <w:tblPr>
        <w:tblStyle w:val="5"/>
        <w:tblW w:w="5128" w:type="pct"/>
        <w:tblInd w:w="-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220"/>
      </w:tblGrid>
      <w:tr w14:paraId="33FA2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trPr>
        <w:tc>
          <w:tcPr>
            <w:tcW w:w="5000" w:type="pct"/>
            <w:noWrap w:val="0"/>
            <w:vAlign w:val="center"/>
          </w:tcPr>
          <w:p w14:paraId="34F5D396">
            <w:pPr>
              <w:wordWrap w:val="0"/>
              <w:adjustRightInd w:val="0"/>
              <w:snapToGrid w:val="0"/>
              <w:jc w:val="center"/>
              <w:rPr>
                <w:b/>
                <w:color w:val="000000"/>
                <w:szCs w:val="21"/>
                <w:highlight w:val="none"/>
                <w:shd w:val="clear" w:color="auto" w:fill="FFFFFF"/>
              </w:rPr>
            </w:pPr>
            <w:r>
              <w:rPr>
                <w:b/>
                <w:color w:val="000000"/>
                <w:szCs w:val="21"/>
                <w:highlight w:val="none"/>
                <w:shd w:val="clear" w:color="auto" w:fill="FFFFFF"/>
              </w:rPr>
              <w:t>业绩要求</w:t>
            </w:r>
          </w:p>
        </w:tc>
      </w:tr>
      <w:tr w14:paraId="44635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0" w:hRule="atLeast"/>
        </w:trPr>
        <w:tc>
          <w:tcPr>
            <w:tcW w:w="5000" w:type="pct"/>
            <w:noWrap w:val="0"/>
            <w:vAlign w:val="center"/>
          </w:tcPr>
          <w:p w14:paraId="562E36C2">
            <w:pPr>
              <w:pStyle w:val="8"/>
              <w:spacing w:before="141"/>
              <w:ind w:right="1" w:rightChars="0"/>
              <w:jc w:val="both"/>
              <w:rPr>
                <w:rFonts w:hint="default" w:ascii="Times New Roman" w:hAnsi="Times New Roman" w:cs="Times New Roman"/>
                <w:color w:val="000000"/>
                <w:sz w:val="21"/>
                <w:szCs w:val="22"/>
                <w:highlight w:val="none"/>
                <w:lang w:val="en-US" w:eastAsia="zh-CN"/>
              </w:rPr>
            </w:pPr>
            <w:r>
              <w:rPr>
                <w:rFonts w:hint="eastAsia" w:ascii="Times New Roman" w:hAnsi="Times New Roman" w:eastAsia="宋体" w:cs="Times New Roman"/>
                <w:color w:val="000000"/>
                <w:sz w:val="21"/>
                <w:szCs w:val="22"/>
                <w:highlight w:val="none"/>
                <w:lang w:val="en-US" w:eastAsia="zh-CN"/>
              </w:rPr>
              <w:t>投标人</w:t>
            </w:r>
            <w:r>
              <w:rPr>
                <w:rFonts w:hint="eastAsia" w:ascii="Times New Roman" w:hAnsi="Times New Roman" w:eastAsia="宋体" w:cs="Times New Roman"/>
                <w:color w:val="000000"/>
                <w:sz w:val="21"/>
                <w:szCs w:val="22"/>
                <w:highlight w:val="none"/>
                <w:lang w:eastAsia="zh-CN"/>
              </w:rPr>
              <w:t>近3年内(2022年</w:t>
            </w:r>
            <w:r>
              <w:rPr>
                <w:rFonts w:hint="eastAsia" w:ascii="Times New Roman" w:hAnsi="Times New Roman" w:cs="Times New Roman"/>
                <w:color w:val="000000"/>
                <w:sz w:val="21"/>
                <w:szCs w:val="22"/>
                <w:highlight w:val="none"/>
                <w:lang w:val="en-US" w:eastAsia="zh-CN"/>
              </w:rPr>
              <w:t>11月</w:t>
            </w:r>
            <w:r>
              <w:rPr>
                <w:rFonts w:hint="eastAsia" w:ascii="Times New Roman" w:hAnsi="Times New Roman" w:eastAsia="宋体" w:cs="Times New Roman"/>
                <w:color w:val="000000"/>
                <w:sz w:val="21"/>
                <w:szCs w:val="22"/>
                <w:highlight w:val="none"/>
                <w:lang w:eastAsia="zh-CN"/>
              </w:rPr>
              <w:t>1日至投标截止时间，以合同签订时间为准)，</w:t>
            </w:r>
            <w:r>
              <w:rPr>
                <w:rFonts w:hint="eastAsia" w:ascii="Times New Roman" w:hAnsi="Times New Roman" w:cs="Times New Roman"/>
                <w:color w:val="000000"/>
                <w:sz w:val="21"/>
                <w:szCs w:val="22"/>
                <w:highlight w:val="none"/>
                <w:lang w:val="en-US" w:eastAsia="zh-CN"/>
              </w:rPr>
              <w:t>完成过一项不少于3台与所投设备同品牌</w:t>
            </w:r>
            <w:r>
              <w:rPr>
                <w:rFonts w:ascii="宋体" w:hAnsi="宋体" w:eastAsia="宋体" w:cs="宋体"/>
                <w:spacing w:val="1"/>
                <w:sz w:val="21"/>
                <w:szCs w:val="21"/>
                <w:highlight w:val="none"/>
              </w:rPr>
              <w:t>自助发卡机</w:t>
            </w:r>
            <w:r>
              <w:rPr>
                <w:rFonts w:hint="eastAsia" w:cs="宋体"/>
                <w:spacing w:val="1"/>
                <w:sz w:val="21"/>
                <w:szCs w:val="21"/>
                <w:highlight w:val="none"/>
                <w:lang w:eastAsia="zh-CN"/>
              </w:rPr>
              <w:t>（</w:t>
            </w:r>
            <w:r>
              <w:rPr>
                <w:rFonts w:hint="eastAsia" w:ascii="宋体" w:hAnsi="宋体" w:eastAsia="宋体" w:cs="宋体"/>
                <w:spacing w:val="1"/>
                <w:sz w:val="21"/>
                <w:szCs w:val="21"/>
                <w:highlight w:val="none"/>
                <w:lang w:val="en-US" w:eastAsia="zh-CN"/>
              </w:rPr>
              <w:t>或</w:t>
            </w:r>
            <w:r>
              <w:rPr>
                <w:rFonts w:ascii="宋体" w:hAnsi="宋体" w:eastAsia="宋体" w:cs="宋体"/>
                <w:spacing w:val="1"/>
                <w:sz w:val="21"/>
                <w:szCs w:val="21"/>
                <w:highlight w:val="none"/>
              </w:rPr>
              <w:t>自助缴费机</w:t>
            </w:r>
            <w:r>
              <w:rPr>
                <w:rFonts w:hint="eastAsia" w:cs="宋体"/>
                <w:spacing w:val="1"/>
                <w:sz w:val="21"/>
                <w:szCs w:val="21"/>
                <w:highlight w:val="none"/>
                <w:lang w:eastAsia="zh-CN"/>
              </w:rPr>
              <w:t>）</w:t>
            </w:r>
            <w:r>
              <w:rPr>
                <w:rFonts w:hint="eastAsia" w:ascii="Times New Roman" w:hAnsi="Times New Roman" w:cs="Times New Roman"/>
                <w:color w:val="000000"/>
                <w:sz w:val="21"/>
                <w:szCs w:val="22"/>
                <w:highlight w:val="none"/>
                <w:lang w:eastAsia="zh-CN"/>
              </w:rPr>
              <w:t>供货业绩。</w:t>
            </w:r>
          </w:p>
        </w:tc>
      </w:tr>
    </w:tbl>
    <w:p w14:paraId="146C619D">
      <w:pPr>
        <w:wordWrap w:val="0"/>
        <w:jc w:val="center"/>
        <w:rPr>
          <w:b/>
          <w:color w:val="000000"/>
          <w:sz w:val="24"/>
          <w:highlight w:val="none"/>
        </w:rPr>
      </w:pPr>
    </w:p>
    <w:p w14:paraId="39BDCCBC">
      <w:pPr>
        <w:wordWrap w:val="0"/>
        <w:jc w:val="center"/>
        <w:rPr>
          <w:b/>
          <w:color w:val="000000"/>
          <w:sz w:val="24"/>
          <w:highlight w:val="none"/>
        </w:rPr>
      </w:pPr>
    </w:p>
    <w:p w14:paraId="4EE3B51D">
      <w:pPr>
        <w:wordWrap w:val="0"/>
        <w:jc w:val="center"/>
        <w:rPr>
          <w:b/>
          <w:color w:val="000000"/>
          <w:sz w:val="24"/>
          <w:highlight w:val="none"/>
        </w:rPr>
      </w:pPr>
    </w:p>
    <w:p w14:paraId="6A8AAAB2">
      <w:pPr>
        <w:wordWrap w:val="0"/>
        <w:jc w:val="center"/>
        <w:rPr>
          <w:color w:val="000000"/>
          <w:highlight w:val="none"/>
        </w:rPr>
      </w:pPr>
      <w:r>
        <w:rPr>
          <w:b/>
          <w:color w:val="000000"/>
          <w:sz w:val="24"/>
          <w:highlight w:val="none"/>
        </w:rPr>
        <w:t>附录3  资格审查条件（信誉最低要求）</w:t>
      </w:r>
    </w:p>
    <w:tbl>
      <w:tblPr>
        <w:tblStyle w:val="5"/>
        <w:tblW w:w="493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9071"/>
      </w:tblGrid>
      <w:tr w14:paraId="4B2FA5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24" w:hRule="atLeast"/>
          <w:jc w:val="center"/>
        </w:trPr>
        <w:tc>
          <w:tcPr>
            <w:tcW w:w="5000" w:type="pct"/>
            <w:noWrap w:val="0"/>
            <w:vAlign w:val="center"/>
          </w:tcPr>
          <w:p w14:paraId="0D514E4B">
            <w:pPr>
              <w:wordWrap w:val="0"/>
              <w:adjustRightInd w:val="0"/>
              <w:snapToGrid w:val="0"/>
              <w:jc w:val="center"/>
              <w:rPr>
                <w:b/>
                <w:color w:val="000000"/>
                <w:szCs w:val="21"/>
                <w:highlight w:val="none"/>
              </w:rPr>
            </w:pPr>
            <w:r>
              <w:rPr>
                <w:b/>
                <w:color w:val="000000"/>
                <w:szCs w:val="21"/>
                <w:highlight w:val="none"/>
              </w:rPr>
              <w:t>信誉要求</w:t>
            </w:r>
          </w:p>
        </w:tc>
      </w:tr>
      <w:tr w14:paraId="07AA67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171" w:hRule="atLeast"/>
          <w:jc w:val="center"/>
        </w:trPr>
        <w:tc>
          <w:tcPr>
            <w:tcW w:w="5000" w:type="pct"/>
            <w:noWrap w:val="0"/>
            <w:vAlign w:val="center"/>
          </w:tcPr>
          <w:p w14:paraId="327590D3">
            <w:pPr>
              <w:wordWrap w:val="0"/>
              <w:rPr>
                <w:color w:val="000000"/>
                <w:highlight w:val="none"/>
              </w:rPr>
            </w:pPr>
            <w:r>
              <w:rPr>
                <w:color w:val="000000"/>
                <w:highlight w:val="none"/>
              </w:rPr>
              <w:t>投标人在近一年（</w:t>
            </w:r>
            <w:r>
              <w:rPr>
                <w:rFonts w:hint="eastAsia"/>
                <w:color w:val="000000"/>
                <w:highlight w:val="none"/>
                <w:lang w:eastAsia="zh-CN"/>
              </w:rPr>
              <w:t>202</w:t>
            </w:r>
            <w:r>
              <w:rPr>
                <w:rFonts w:hint="eastAsia"/>
                <w:color w:val="000000"/>
                <w:highlight w:val="none"/>
                <w:lang w:val="en-US" w:eastAsia="zh-CN"/>
              </w:rPr>
              <w:t>4</w:t>
            </w:r>
            <w:r>
              <w:rPr>
                <w:rFonts w:hint="eastAsia"/>
                <w:color w:val="000000"/>
                <w:highlight w:val="none"/>
                <w:lang w:eastAsia="zh-CN"/>
              </w:rPr>
              <w:t>年</w:t>
            </w:r>
            <w:r>
              <w:rPr>
                <w:rFonts w:hint="eastAsia"/>
                <w:color w:val="000000"/>
                <w:highlight w:val="none"/>
                <w:lang w:val="en-US" w:eastAsia="zh-CN"/>
              </w:rPr>
              <w:t>11月</w:t>
            </w:r>
            <w:r>
              <w:rPr>
                <w:rFonts w:hint="eastAsia"/>
                <w:color w:val="000000"/>
                <w:highlight w:val="none"/>
                <w:lang w:eastAsia="zh-CN"/>
              </w:rPr>
              <w:t>1日</w:t>
            </w:r>
            <w:r>
              <w:rPr>
                <w:color w:val="000000"/>
                <w:highlight w:val="none"/>
              </w:rPr>
              <w:t>至投标截止时间）不曾在</w:t>
            </w:r>
            <w:r>
              <w:rPr>
                <w:rFonts w:hint="eastAsia" w:ascii="Times New Roman" w:hAnsi="Times New Roman" w:cs="Times New Roman"/>
                <w:color w:val="000000"/>
                <w:sz w:val="21"/>
                <w:szCs w:val="22"/>
                <w:highlight w:val="none"/>
                <w:lang w:eastAsia="zh-CN"/>
              </w:rPr>
              <w:t>高速公路</w:t>
            </w:r>
            <w:r>
              <w:rPr>
                <w:rFonts w:hint="eastAsia" w:ascii="Times New Roman" w:hAnsi="Times New Roman" w:cs="Times New Roman"/>
                <w:color w:val="000000"/>
                <w:sz w:val="21"/>
                <w:szCs w:val="22"/>
                <w:highlight w:val="none"/>
                <w:lang w:val="en-US" w:eastAsia="zh-CN"/>
              </w:rPr>
              <w:t>机电设备</w:t>
            </w:r>
            <w:r>
              <w:rPr>
                <w:color w:val="000000"/>
                <w:highlight w:val="none"/>
              </w:rPr>
              <w:t>供货</w:t>
            </w:r>
            <w:r>
              <w:rPr>
                <w:rFonts w:hint="eastAsia"/>
                <w:color w:val="000000"/>
                <w:highlight w:val="none"/>
                <w:lang w:eastAsia="zh-CN"/>
              </w:rPr>
              <w:t>合同</w:t>
            </w:r>
            <w:r>
              <w:rPr>
                <w:color w:val="000000"/>
                <w:highlight w:val="none"/>
              </w:rPr>
              <w:t>中违约被逐或因投标人自身的原因而使</w:t>
            </w:r>
            <w:r>
              <w:rPr>
                <w:rFonts w:hint="eastAsia" w:ascii="Times New Roman" w:hAnsi="Times New Roman" w:cs="Times New Roman"/>
                <w:color w:val="000000"/>
                <w:sz w:val="21"/>
                <w:szCs w:val="22"/>
                <w:highlight w:val="none"/>
                <w:lang w:eastAsia="zh-CN"/>
              </w:rPr>
              <w:t>高速公路</w:t>
            </w:r>
            <w:r>
              <w:rPr>
                <w:rFonts w:hint="eastAsia" w:ascii="Times New Roman" w:hAnsi="Times New Roman" w:cs="Times New Roman"/>
                <w:color w:val="000000"/>
                <w:sz w:val="21"/>
                <w:szCs w:val="22"/>
                <w:highlight w:val="none"/>
                <w:lang w:val="en-US" w:eastAsia="zh-CN"/>
              </w:rPr>
              <w:t>机电设备</w:t>
            </w:r>
            <w:r>
              <w:rPr>
                <w:color w:val="000000"/>
                <w:highlight w:val="none"/>
              </w:rPr>
              <w:t>供货合同被解除。</w:t>
            </w:r>
          </w:p>
        </w:tc>
      </w:tr>
    </w:tbl>
    <w:p w14:paraId="5D142B24">
      <w:pPr>
        <w:wordWrap w:val="0"/>
        <w:jc w:val="both"/>
        <w:rPr>
          <w:b/>
          <w:color w:val="000000"/>
          <w:sz w:val="24"/>
          <w:highlight w:val="none"/>
        </w:rPr>
      </w:pPr>
    </w:p>
    <w:p w14:paraId="5AECC28F">
      <w:pPr>
        <w:wordWrap w:val="0"/>
        <w:jc w:val="both"/>
        <w:rPr>
          <w:b/>
          <w:color w:val="000000"/>
          <w:sz w:val="24"/>
          <w:highlight w:val="none"/>
        </w:rPr>
      </w:pPr>
    </w:p>
    <w:p w14:paraId="4FD10856">
      <w:pPr>
        <w:wordWrap w:val="0"/>
        <w:jc w:val="both"/>
        <w:rPr>
          <w:b/>
          <w:color w:val="000000"/>
          <w:sz w:val="24"/>
          <w:highlight w:val="none"/>
        </w:rPr>
      </w:pPr>
    </w:p>
    <w:p w14:paraId="4B6F47FF">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宋体" w:hAnsi="宋体" w:eastAsia="宋体"/>
          <w:color w:val="000000"/>
          <w:szCs w:val="21"/>
          <w:highlight w:val="none"/>
          <w:lang w:val="en-US" w:eastAsia="zh-CN"/>
        </w:rPr>
      </w:pPr>
    </w:p>
    <w:p w14:paraId="205E88EA">
      <w:pPr>
        <w:wordWrap w:val="0"/>
        <w:autoSpaceDE w:val="0"/>
        <w:autoSpaceDN w:val="0"/>
        <w:adjustRightInd w:val="0"/>
        <w:ind w:right="-20"/>
        <w:jc w:val="left"/>
        <w:outlineLvl w:val="3"/>
        <w:rPr>
          <w:b/>
          <w:color w:val="000000"/>
          <w:sz w:val="28"/>
          <w:szCs w:val="28"/>
          <w:highlight w:val="none"/>
        </w:rPr>
      </w:pPr>
      <w:r>
        <w:rPr>
          <w:b/>
          <w:color w:val="000000"/>
          <w:sz w:val="28"/>
          <w:szCs w:val="28"/>
          <w:highlight w:val="none"/>
        </w:rPr>
        <w:br w:type="page"/>
      </w:r>
      <w:r>
        <w:rPr>
          <w:b/>
          <w:color w:val="000000"/>
          <w:sz w:val="24"/>
          <w:szCs w:val="24"/>
          <w:highlight w:val="none"/>
        </w:rPr>
        <w:t>附件2：评标办法</w:t>
      </w:r>
    </w:p>
    <w:p w14:paraId="3376F0F3">
      <w:pPr>
        <w:pStyle w:val="3"/>
        <w:wordWrap w:val="0"/>
        <w:spacing w:before="0" w:line="360" w:lineRule="auto"/>
        <w:rPr>
          <w:rFonts w:hint="eastAsia" w:ascii="宋体" w:hAnsi="宋体" w:cs="宋体"/>
          <w:color w:val="000000"/>
          <w:spacing w:val="1"/>
          <w:sz w:val="28"/>
          <w:szCs w:val="28"/>
          <w:highlight w:val="none"/>
        </w:rPr>
      </w:pPr>
      <w:r>
        <w:rPr>
          <w:rFonts w:hint="eastAsia" w:ascii="宋体" w:hAnsi="宋体" w:cs="宋体"/>
          <w:color w:val="000000"/>
          <w:spacing w:val="2"/>
          <w:sz w:val="24"/>
          <w:szCs w:val="24"/>
          <w:highlight w:val="none"/>
        </w:rPr>
        <w:t>评标办法前附表</w:t>
      </w:r>
    </w:p>
    <w:tbl>
      <w:tblPr>
        <w:tblStyle w:val="5"/>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1517"/>
        <w:gridCol w:w="5680"/>
      </w:tblGrid>
      <w:tr w14:paraId="50B5F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noWrap w:val="0"/>
            <w:vAlign w:val="center"/>
          </w:tcPr>
          <w:p w14:paraId="128A60D5">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b/>
                <w:color w:val="000000"/>
                <w:sz w:val="21"/>
                <w:szCs w:val="21"/>
                <w:highlight w:val="none"/>
              </w:rPr>
            </w:pPr>
            <w:r>
              <w:rPr>
                <w:rFonts w:hint="eastAsia" w:ascii="宋体" w:hAnsi="宋体" w:cs="宋体"/>
                <w:b/>
                <w:color w:val="000000"/>
                <w:sz w:val="21"/>
                <w:szCs w:val="21"/>
                <w:highlight w:val="none"/>
              </w:rPr>
              <w:t>条款号</w:t>
            </w:r>
          </w:p>
        </w:tc>
        <w:tc>
          <w:tcPr>
            <w:tcW w:w="7197" w:type="dxa"/>
            <w:gridSpan w:val="2"/>
            <w:noWrap w:val="0"/>
            <w:vAlign w:val="center"/>
          </w:tcPr>
          <w:p w14:paraId="4961AA87">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b/>
                <w:color w:val="000000"/>
                <w:sz w:val="21"/>
                <w:szCs w:val="21"/>
                <w:highlight w:val="none"/>
              </w:rPr>
            </w:pPr>
            <w:r>
              <w:rPr>
                <w:rFonts w:hint="eastAsia" w:ascii="宋体" w:hAnsi="宋体" w:cs="宋体"/>
                <w:b/>
                <w:color w:val="000000"/>
                <w:sz w:val="21"/>
                <w:szCs w:val="21"/>
                <w:highlight w:val="none"/>
              </w:rPr>
              <w:t>评审因素与标准</w:t>
            </w:r>
          </w:p>
        </w:tc>
      </w:tr>
      <w:tr w14:paraId="4597B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noWrap w:val="0"/>
            <w:vAlign w:val="center"/>
          </w:tcPr>
          <w:p w14:paraId="4F66889F">
            <w:pPr>
              <w:keepNext w:val="0"/>
              <w:keepLines w:val="0"/>
              <w:pageBreakBefore w:val="0"/>
              <w:kinsoku/>
              <w:wordWrap/>
              <w:overflowPunct/>
              <w:topLinePunct w:val="0"/>
              <w:bidi w:val="0"/>
              <w:snapToGrid w:val="0"/>
              <w:spacing w:line="320" w:lineRule="exact"/>
              <w:jc w:val="center"/>
              <w:textAlignment w:val="auto"/>
              <w:rPr>
                <w:rFonts w:hint="eastAsia" w:ascii="宋体" w:hAnsi="宋体" w:cs="宋体"/>
                <w:b/>
                <w:color w:val="000000"/>
                <w:sz w:val="21"/>
                <w:szCs w:val="21"/>
                <w:highlight w:val="none"/>
              </w:rPr>
            </w:pPr>
            <w:r>
              <w:rPr>
                <w:rFonts w:hint="eastAsia" w:ascii="宋体" w:hAnsi="宋体" w:cs="宋体"/>
                <w:b/>
                <w:color w:val="000000"/>
                <w:sz w:val="21"/>
                <w:szCs w:val="21"/>
                <w:highlight w:val="none"/>
              </w:rPr>
              <w:t>1</w:t>
            </w:r>
          </w:p>
        </w:tc>
        <w:tc>
          <w:tcPr>
            <w:tcW w:w="1317" w:type="dxa"/>
            <w:noWrap w:val="0"/>
            <w:vAlign w:val="center"/>
          </w:tcPr>
          <w:p w14:paraId="1797EF89">
            <w:pPr>
              <w:keepNext w:val="0"/>
              <w:keepLines w:val="0"/>
              <w:pageBreakBefore w:val="0"/>
              <w:kinsoku/>
              <w:wordWrap/>
              <w:overflowPunct/>
              <w:topLinePunct w:val="0"/>
              <w:bidi w:val="0"/>
              <w:snapToGrid w:val="0"/>
              <w:spacing w:line="320" w:lineRule="exact"/>
              <w:jc w:val="center"/>
              <w:textAlignment w:val="auto"/>
              <w:rPr>
                <w:rFonts w:hint="eastAsia" w:ascii="宋体" w:hAnsi="宋体" w:cs="宋体"/>
                <w:b/>
                <w:color w:val="000000"/>
                <w:sz w:val="21"/>
                <w:szCs w:val="21"/>
                <w:highlight w:val="none"/>
              </w:rPr>
            </w:pPr>
            <w:r>
              <w:rPr>
                <w:rFonts w:hint="eastAsia" w:ascii="宋体" w:hAnsi="宋体" w:cs="宋体"/>
                <w:color w:val="000000"/>
                <w:sz w:val="21"/>
                <w:szCs w:val="21"/>
                <w:highlight w:val="none"/>
              </w:rPr>
              <w:t>评标办法</w:t>
            </w:r>
          </w:p>
        </w:tc>
        <w:tc>
          <w:tcPr>
            <w:tcW w:w="7197" w:type="dxa"/>
            <w:gridSpan w:val="2"/>
            <w:noWrap w:val="0"/>
            <w:vAlign w:val="center"/>
          </w:tcPr>
          <w:p w14:paraId="50D4BF86">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本次评标采用</w:t>
            </w:r>
            <w:r>
              <w:rPr>
                <w:color w:val="auto"/>
                <w:szCs w:val="21"/>
                <w:highlight w:val="none"/>
              </w:rPr>
              <w:t>经评审的最低投标价法</w:t>
            </w:r>
            <w:r>
              <w:rPr>
                <w:rFonts w:hint="eastAsia" w:ascii="宋体" w:hAnsi="宋体" w:eastAsia="宋体" w:cs="宋体"/>
                <w:color w:val="000000"/>
                <w:sz w:val="21"/>
                <w:szCs w:val="21"/>
                <w:highlight w:val="none"/>
              </w:rPr>
              <w:t>。</w:t>
            </w:r>
            <w:r>
              <w:rPr>
                <w:rFonts w:hint="eastAsia" w:ascii="宋体" w:hAnsi="宋体" w:eastAsia="宋体" w:cs="宋体"/>
                <w:color w:val="auto"/>
                <w:sz w:val="21"/>
                <w:szCs w:val="21"/>
                <w:highlight w:val="none"/>
              </w:rPr>
              <w:t>评标委员会对满足招标文件实质性要求的投标文件，</w:t>
            </w:r>
            <w:r>
              <w:rPr>
                <w:color w:val="auto"/>
                <w:szCs w:val="21"/>
                <w:highlight w:val="none"/>
              </w:rPr>
              <w:t>按照经评审的投标价由低到高的顺序推荐1-3名中标候选人</w:t>
            </w:r>
            <w:r>
              <w:rPr>
                <w:rFonts w:hint="eastAsia" w:ascii="宋体" w:hAnsi="宋体" w:eastAsia="宋体" w:cs="宋体"/>
                <w:color w:val="000000"/>
                <w:sz w:val="21"/>
                <w:szCs w:val="21"/>
                <w:highlight w:val="none"/>
              </w:rPr>
              <w:t>。</w:t>
            </w:r>
            <w:r>
              <w:rPr>
                <w:color w:val="auto"/>
                <w:szCs w:val="21"/>
                <w:highlight w:val="none"/>
              </w:rPr>
              <w:t>经评审的投标价相等时</w:t>
            </w:r>
            <w:r>
              <w:rPr>
                <w:rFonts w:hint="eastAsia" w:ascii="宋体" w:hAnsi="宋体" w:eastAsia="宋体" w:cs="宋体"/>
                <w:color w:val="000000"/>
                <w:sz w:val="21"/>
                <w:szCs w:val="21"/>
                <w:highlight w:val="none"/>
              </w:rPr>
              <w:t>，评标委员会依次按照以下优先顺序推荐中标候选人：</w:t>
            </w:r>
          </w:p>
          <w:p w14:paraId="1BF0C536">
            <w:pPr>
              <w:keepNext w:val="0"/>
              <w:keepLines w:val="0"/>
              <w:pageBreakBefore w:val="0"/>
              <w:kinsoku/>
              <w:wordWrap/>
              <w:overflowPunct/>
              <w:topLinePunct w:val="0"/>
              <w:bidi w:val="0"/>
              <w:snapToGrid w:val="0"/>
              <w:spacing w:line="320" w:lineRule="exact"/>
              <w:ind w:firstLine="420" w:firstLineChars="200"/>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满足资格审查条件附录2（业绩最低要求）要求的供货业绩累计</w:t>
            </w:r>
            <w:r>
              <w:rPr>
                <w:rFonts w:hint="eastAsia" w:ascii="宋体" w:hAnsi="宋体" w:cs="宋体"/>
                <w:color w:val="000000"/>
                <w:sz w:val="21"/>
                <w:szCs w:val="21"/>
                <w:highlight w:val="none"/>
                <w:lang w:val="en-US" w:eastAsia="zh-CN"/>
              </w:rPr>
              <w:t>金额高</w:t>
            </w:r>
            <w:r>
              <w:rPr>
                <w:rFonts w:hint="eastAsia" w:ascii="宋体" w:hAnsi="宋体" w:eastAsia="宋体" w:cs="宋体"/>
                <w:color w:val="000000"/>
                <w:sz w:val="21"/>
                <w:szCs w:val="21"/>
                <w:highlight w:val="none"/>
              </w:rPr>
              <w:t>的</w:t>
            </w:r>
            <w:r>
              <w:rPr>
                <w:rFonts w:hint="eastAsia" w:ascii="宋体" w:hAnsi="宋体" w:cs="宋体"/>
                <w:color w:val="000000"/>
                <w:sz w:val="21"/>
                <w:szCs w:val="21"/>
                <w:highlight w:val="none"/>
                <w:lang w:val="en-US" w:eastAsia="zh-CN"/>
              </w:rPr>
              <w:t>投标人</w:t>
            </w:r>
            <w:r>
              <w:rPr>
                <w:rFonts w:hint="eastAsia" w:ascii="宋体" w:hAnsi="宋体" w:eastAsia="宋体" w:cs="宋体"/>
                <w:color w:val="000000"/>
                <w:sz w:val="21"/>
                <w:szCs w:val="21"/>
                <w:highlight w:val="none"/>
              </w:rPr>
              <w:t>优先。</w:t>
            </w:r>
          </w:p>
        </w:tc>
      </w:tr>
      <w:tr w14:paraId="564F6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noWrap w:val="0"/>
            <w:vAlign w:val="center"/>
          </w:tcPr>
          <w:p w14:paraId="2870C88F">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2.1.1</w:t>
            </w:r>
          </w:p>
          <w:p w14:paraId="45AC4A9A">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2.1.3</w:t>
            </w:r>
          </w:p>
        </w:tc>
        <w:tc>
          <w:tcPr>
            <w:tcW w:w="1317" w:type="dxa"/>
            <w:noWrap w:val="0"/>
            <w:vAlign w:val="center"/>
          </w:tcPr>
          <w:p w14:paraId="457CA986">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形式评审与响应性评审标准</w:t>
            </w:r>
          </w:p>
        </w:tc>
        <w:tc>
          <w:tcPr>
            <w:tcW w:w="7197" w:type="dxa"/>
            <w:gridSpan w:val="2"/>
            <w:noWrap w:val="0"/>
            <w:vAlign w:val="center"/>
          </w:tcPr>
          <w:p w14:paraId="3907BA2A">
            <w:pPr>
              <w:keepNext w:val="0"/>
              <w:keepLines w:val="0"/>
              <w:pageBreakBefore w:val="0"/>
              <w:kinsoku/>
              <w:wordWrap/>
              <w:overflowPunct/>
              <w:topLinePunct w:val="0"/>
              <w:bidi w:val="0"/>
              <w:snapToGrid w:val="0"/>
              <w:spacing w:line="320" w:lineRule="exact"/>
              <w:ind w:firstLine="422" w:firstLineChars="200"/>
              <w:textAlignment w:val="auto"/>
              <w:rPr>
                <w:rFonts w:hint="eastAsia" w:ascii="宋体" w:hAnsi="宋体" w:cs="宋体"/>
                <w:b/>
                <w:bCs/>
                <w:color w:val="000000"/>
                <w:sz w:val="21"/>
                <w:szCs w:val="21"/>
                <w:highlight w:val="none"/>
              </w:rPr>
            </w:pPr>
            <w:r>
              <w:rPr>
                <w:b/>
                <w:bCs/>
                <w:color w:val="auto"/>
                <w:szCs w:val="21"/>
                <w:highlight w:val="none"/>
              </w:rPr>
              <w:t>第一个信封（商务及技术文件）评审标准：</w:t>
            </w:r>
          </w:p>
          <w:p w14:paraId="78C5E566">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（1）投标文件按照招标文件规定的格式、内容填写，字迹清晰可辨：</w:t>
            </w:r>
          </w:p>
          <w:p w14:paraId="19D3F6FB">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a.投标函按照招标文件规定填报了招标人名称、项目名称、补遗书编号（如有）</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rPr>
              <w:t>交货地点、交货期、质量要求；</w:t>
            </w:r>
          </w:p>
          <w:p w14:paraId="373E83EE">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b.投标文件组成齐全完整，内容均按规定填写；</w:t>
            </w:r>
          </w:p>
          <w:p w14:paraId="5575D4B8">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（2）投标文件上法定代表人或其委托代理人的签字、投标人的单位章盖章齐全，符合招标文件规定。</w:t>
            </w:r>
          </w:p>
          <w:p w14:paraId="633A0819">
            <w:pPr>
              <w:keepNext w:val="0"/>
              <w:keepLines w:val="0"/>
              <w:pageBreakBefore w:val="0"/>
              <w:kinsoku/>
              <w:wordWrap/>
              <w:overflowPunct/>
              <w:topLinePunct w:val="0"/>
              <w:bidi w:val="0"/>
              <w:snapToGrid w:val="0"/>
              <w:spacing w:line="320" w:lineRule="exact"/>
              <w:ind w:firstLine="420" w:firstLineChars="200"/>
              <w:jc w:val="both"/>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（3）投标人按照招标文件的规定提供了投标保证金，满足投标人须知3.4.1规定。</w:t>
            </w:r>
          </w:p>
          <w:p w14:paraId="36528144">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（4）投标人法定代表人授权委托代理人签署投标文件的，须提交授权委托书，授权委托书的签字盖章符合招标文件规定。</w:t>
            </w:r>
          </w:p>
          <w:p w14:paraId="178FA822">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（5）投标人法定代表人亲自签署投标文件的，提供了法定代表人身份证明,法定代表人身份证明的签字盖章符合招标文件规定。</w:t>
            </w:r>
          </w:p>
          <w:p w14:paraId="610209DE">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（6）投标人未以联合体形式投标。</w:t>
            </w:r>
          </w:p>
          <w:p w14:paraId="1616BDDB">
            <w:pPr>
              <w:keepNext w:val="0"/>
              <w:keepLines w:val="0"/>
              <w:pageBreakBefore w:val="0"/>
              <w:kinsoku/>
              <w:wordWrap/>
              <w:overflowPunct/>
              <w:topLinePunct w:val="0"/>
              <w:bidi w:val="0"/>
              <w:snapToGrid w:val="0"/>
              <w:spacing w:line="320" w:lineRule="exact"/>
              <w:ind w:right="113"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（7）投标人未对本项目进行分包。</w:t>
            </w:r>
          </w:p>
          <w:p w14:paraId="39EED212">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（8）同一投标人未提交两个以上不同的投标文件。</w:t>
            </w:r>
          </w:p>
          <w:p w14:paraId="4116FF6F">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（9）投标文件中未出现有关投标报价的内容。</w:t>
            </w:r>
          </w:p>
          <w:p w14:paraId="0D7B0F4C">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w:t>
            </w:r>
            <w:r>
              <w:rPr>
                <w:rFonts w:hint="eastAsia" w:ascii="宋体" w:hAnsi="宋体" w:cs="宋体"/>
                <w:color w:val="000000"/>
                <w:sz w:val="21"/>
                <w:szCs w:val="21"/>
                <w:highlight w:val="none"/>
              </w:rPr>
              <w:t>）投标文件载明的招标项目完成期限未超过招标文件规定的时限。</w:t>
            </w:r>
          </w:p>
          <w:p w14:paraId="3FF40652">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11</w:t>
            </w:r>
            <w:r>
              <w:rPr>
                <w:rFonts w:hint="eastAsia" w:ascii="宋体" w:hAnsi="宋体" w:cs="宋体"/>
                <w:color w:val="000000"/>
                <w:sz w:val="21"/>
                <w:szCs w:val="21"/>
                <w:highlight w:val="none"/>
              </w:rPr>
              <w:t>）权利义务符合招标文件规定：</w:t>
            </w:r>
          </w:p>
          <w:p w14:paraId="00C60C09">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a．投标人应接受招标文件规定的风险划分原则，未提出新的风险划分办法；</w:t>
            </w:r>
          </w:p>
          <w:p w14:paraId="58CAFF83">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b．投标人未增加发包人的责任范围，或减少投标人义务；</w:t>
            </w:r>
          </w:p>
          <w:p w14:paraId="4023E6B1">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c．投标人未提出不同的工程验收、计量、支付办法；</w:t>
            </w:r>
          </w:p>
          <w:p w14:paraId="179A04B7">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d．投标人对合同纠纷、事故处理办法未提出异议；</w:t>
            </w:r>
          </w:p>
          <w:p w14:paraId="3A75EB46">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e．投标人在投标活动中无欺诈行为；</w:t>
            </w:r>
          </w:p>
          <w:p w14:paraId="193CACB3">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f．投标人未对合同条款有重要保留</w:t>
            </w:r>
            <w:r>
              <w:rPr>
                <w:rFonts w:hint="eastAsia" w:ascii="宋体" w:hAnsi="宋体" w:cs="宋体"/>
                <w:color w:val="000000"/>
                <w:sz w:val="21"/>
                <w:szCs w:val="21"/>
                <w:highlight w:val="none"/>
                <w:lang w:eastAsia="zh-CN"/>
              </w:rPr>
              <w:t>。</w:t>
            </w:r>
          </w:p>
          <w:p w14:paraId="2670625B">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12</w:t>
            </w:r>
            <w:r>
              <w:rPr>
                <w:rFonts w:hint="eastAsia" w:ascii="宋体" w:hAnsi="宋体" w:cs="宋体"/>
                <w:color w:val="000000"/>
                <w:sz w:val="21"/>
                <w:szCs w:val="21"/>
                <w:highlight w:val="none"/>
              </w:rPr>
              <w:t>）投标文件对招标文件的实质性要求和条件（</w:t>
            </w:r>
            <w:r>
              <w:rPr>
                <w:rFonts w:hint="eastAsia" w:ascii="宋体" w:hAnsi="宋体" w:cs="宋体"/>
                <w:color w:val="000000"/>
                <w:sz w:val="21"/>
                <w:szCs w:val="21"/>
                <w:highlight w:val="none"/>
                <w:lang w:val="en-US" w:eastAsia="zh-CN"/>
              </w:rPr>
              <w:t>供货要求中</w:t>
            </w:r>
            <w:r>
              <w:rPr>
                <w:rFonts w:hint="eastAsia" w:ascii="宋体" w:hAnsi="宋体" w:cs="宋体"/>
                <w:color w:val="000000"/>
                <w:sz w:val="21"/>
                <w:szCs w:val="21"/>
                <w:highlight w:val="none"/>
              </w:rPr>
              <w:t>带</w:t>
            </w:r>
            <w:r>
              <w:rPr>
                <w:rFonts w:hint="eastAsia" w:ascii="宋体" w:hAnsi="宋体" w:cs="宋体"/>
                <w:b/>
                <w:bCs/>
                <w:color w:val="000000"/>
                <w:spacing w:val="-2"/>
                <w:sz w:val="24"/>
                <w:szCs w:val="24"/>
                <w:highlight w:val="none"/>
                <w:lang w:val="en-US" w:eastAsia="zh-CN"/>
              </w:rPr>
              <w:t>*</w:t>
            </w:r>
            <w:r>
              <w:rPr>
                <w:rFonts w:hint="eastAsia" w:ascii="宋体" w:hAnsi="宋体" w:cs="宋体"/>
                <w:color w:val="000000"/>
                <w:sz w:val="21"/>
                <w:szCs w:val="21"/>
                <w:highlight w:val="none"/>
              </w:rPr>
              <w:t>的条款）作出响应，满足招标文件的要求。</w:t>
            </w:r>
          </w:p>
          <w:p w14:paraId="72E5746E">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lang w:eastAsia="zh-CN"/>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13</w:t>
            </w:r>
            <w:r>
              <w:rPr>
                <w:rFonts w:hint="eastAsia" w:ascii="宋体" w:hAnsi="宋体" w:cs="宋体"/>
                <w:color w:val="000000"/>
                <w:sz w:val="21"/>
                <w:szCs w:val="21"/>
                <w:highlight w:val="none"/>
              </w:rPr>
              <w:t>）技术支持资料符合第二章“投标人须知”第 1.11.3 项规定</w:t>
            </w:r>
            <w:r>
              <w:rPr>
                <w:rFonts w:hint="eastAsia" w:ascii="宋体" w:hAnsi="宋体" w:cs="宋体"/>
                <w:color w:val="000000"/>
                <w:sz w:val="21"/>
                <w:szCs w:val="21"/>
                <w:highlight w:val="none"/>
                <w:lang w:eastAsia="zh-CN"/>
              </w:rPr>
              <w:t>。</w:t>
            </w:r>
          </w:p>
          <w:p w14:paraId="0301ED1F">
            <w:pPr>
              <w:snapToGrid w:val="0"/>
              <w:spacing w:line="320" w:lineRule="exact"/>
              <w:ind w:firstLine="422" w:firstLineChars="20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第二个信封（报价文件）评审标准：</w:t>
            </w:r>
          </w:p>
          <w:p w14:paraId="4932D64E">
            <w:pPr>
              <w:snapToGrid w:val="0"/>
              <w:spacing w:line="32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（1）投标文件按照招标文件规定的格式、内容填写，字迹清晰可辨：</w:t>
            </w:r>
          </w:p>
          <w:p w14:paraId="4ED329D6">
            <w:pPr>
              <w:snapToGrid w:val="0"/>
              <w:spacing w:line="32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a.投标函按照招标文件规定填报了招标人名称、项目名称、补遗书编号（如有）、投标报价（包括大写金额和小写金额）；</w:t>
            </w:r>
          </w:p>
          <w:p w14:paraId="07C5FDD9">
            <w:pPr>
              <w:keepNext w:val="0"/>
              <w:keepLines w:val="0"/>
              <w:pageBreakBefore w:val="0"/>
              <w:kinsoku/>
              <w:wordWrap/>
              <w:overflowPunct/>
              <w:topLinePunct w:val="0"/>
              <w:autoSpaceDE/>
              <w:autoSpaceDN/>
              <w:bidi w:val="0"/>
              <w:snapToGrid w:val="0"/>
              <w:spacing w:line="32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b</w:t>
            </w:r>
            <w:r>
              <w:rPr>
                <w:rFonts w:hint="eastAsia" w:ascii="宋体" w:hAnsi="宋体" w:cs="宋体"/>
                <w:color w:val="auto"/>
                <w:sz w:val="21"/>
                <w:szCs w:val="21"/>
                <w:highlight w:val="none"/>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报价</w:t>
            </w:r>
            <w:r>
              <w:rPr>
                <w:rFonts w:hint="eastAsia" w:ascii="宋体" w:hAnsi="宋体" w:eastAsia="宋体" w:cs="宋体"/>
                <w:color w:val="000000" w:themeColor="text1"/>
                <w:sz w:val="21"/>
                <w:szCs w:val="21"/>
                <w:highlight w:val="none"/>
                <w14:textFill>
                  <w14:solidFill>
                    <w14:schemeClr w14:val="tx1"/>
                  </w14:solidFill>
                </w14:textFill>
              </w:rPr>
              <w:t>说明文字与招标文件规定一致，未进行实质性修改和删减；</w:t>
            </w:r>
          </w:p>
          <w:p w14:paraId="2FDDF0BF">
            <w:pPr>
              <w:snapToGrid w:val="0"/>
              <w:spacing w:line="32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C.</w:t>
            </w:r>
            <w:r>
              <w:rPr>
                <w:rFonts w:hint="eastAsia" w:ascii="宋体" w:hAnsi="宋体" w:cs="宋体"/>
                <w:color w:val="auto"/>
                <w:sz w:val="21"/>
                <w:szCs w:val="21"/>
                <w:highlight w:val="none"/>
              </w:rPr>
              <w:t>投标文件组成齐全完整，内容均按规定填写。</w:t>
            </w:r>
          </w:p>
          <w:p w14:paraId="25D0CA96">
            <w:pPr>
              <w:snapToGrid w:val="0"/>
              <w:spacing w:line="32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（2）投标文件上法定代表人或委托代理人的签字、投标人的单位章盖章齐全，符合招标文件规定。</w:t>
            </w:r>
          </w:p>
          <w:p w14:paraId="649AFBE1">
            <w:pPr>
              <w:snapToGrid w:val="0"/>
              <w:spacing w:line="32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（3）投标</w:t>
            </w:r>
            <w:r>
              <w:rPr>
                <w:rFonts w:hint="eastAsia" w:ascii="宋体" w:hAnsi="宋体" w:cs="宋体"/>
                <w:color w:val="auto"/>
                <w:sz w:val="21"/>
                <w:szCs w:val="21"/>
                <w:highlight w:val="none"/>
                <w:lang w:val="en-US" w:eastAsia="zh-CN"/>
              </w:rPr>
              <w:t>报价</w:t>
            </w:r>
            <w:r>
              <w:rPr>
                <w:rFonts w:hint="eastAsia" w:ascii="宋体" w:hAnsi="宋体" w:cs="宋体"/>
                <w:color w:val="auto"/>
                <w:sz w:val="21"/>
                <w:szCs w:val="21"/>
                <w:highlight w:val="none"/>
              </w:rPr>
              <w:t>未超过招标文件设定的最高</w:t>
            </w:r>
            <w:r>
              <w:rPr>
                <w:rFonts w:hint="eastAsia" w:ascii="宋体" w:hAnsi="宋体" w:cs="宋体"/>
                <w:color w:val="auto"/>
                <w:sz w:val="21"/>
                <w:szCs w:val="21"/>
                <w:highlight w:val="none"/>
                <w:lang w:val="en-US" w:eastAsia="zh-CN"/>
              </w:rPr>
              <w:t>投标</w:t>
            </w:r>
            <w:r>
              <w:rPr>
                <w:rFonts w:hint="eastAsia" w:ascii="宋体" w:hAnsi="宋体" w:cs="宋体"/>
                <w:color w:val="auto"/>
                <w:sz w:val="21"/>
                <w:szCs w:val="21"/>
                <w:highlight w:val="none"/>
              </w:rPr>
              <w:t>限价。</w:t>
            </w:r>
          </w:p>
          <w:p w14:paraId="13308C1F">
            <w:pPr>
              <w:snapToGrid w:val="0"/>
              <w:spacing w:line="3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（4）投标报价的大写金额能够确定具体数值。</w:t>
            </w:r>
          </w:p>
          <w:p w14:paraId="2E1002F3">
            <w:pPr>
              <w:snapToGrid w:val="0"/>
              <w:spacing w:line="3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（5）同一投标人未提交两个以上不同的投标报价。</w:t>
            </w:r>
          </w:p>
          <w:p w14:paraId="7C46A366">
            <w:pPr>
              <w:snapToGrid w:val="0"/>
              <w:spacing w:line="320" w:lineRule="exact"/>
              <w:ind w:firstLine="420" w:firstLineChars="200"/>
              <w:rPr>
                <w:rFonts w:hint="eastAsia" w:ascii="宋体" w:hAnsi="宋体" w:cs="宋体"/>
                <w:color w:val="000000"/>
                <w:sz w:val="21"/>
                <w:szCs w:val="21"/>
                <w:highlight w:val="none"/>
                <w:lang w:eastAsia="zh-CN"/>
              </w:rPr>
            </w:pPr>
            <w:r>
              <w:rPr>
                <w:rFonts w:hint="eastAsia" w:ascii="宋体" w:hAnsi="宋体" w:eastAsia="宋体" w:cs="宋体"/>
                <w:color w:val="auto"/>
                <w:sz w:val="21"/>
                <w:szCs w:val="21"/>
                <w:highlight w:val="none"/>
              </w:rPr>
              <w:t>（6）分项报价表中投标报价与投标函大写金额</w:t>
            </w:r>
            <w:r>
              <w:rPr>
                <w:rFonts w:hint="eastAsia" w:ascii="宋体" w:hAnsi="宋体" w:cs="宋体"/>
                <w:color w:val="auto"/>
                <w:sz w:val="21"/>
                <w:szCs w:val="21"/>
                <w:highlight w:val="none"/>
                <w:lang w:val="en-US" w:eastAsia="zh-CN"/>
              </w:rPr>
              <w:t>报价</w:t>
            </w:r>
            <w:r>
              <w:rPr>
                <w:rFonts w:hint="eastAsia" w:ascii="宋体" w:hAnsi="宋体" w:eastAsia="宋体" w:cs="宋体"/>
                <w:color w:val="auto"/>
                <w:sz w:val="21"/>
                <w:szCs w:val="21"/>
                <w:highlight w:val="none"/>
              </w:rPr>
              <w:t>一致。</w:t>
            </w:r>
          </w:p>
        </w:tc>
      </w:tr>
      <w:tr w14:paraId="2F903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86" w:hRule="atLeast"/>
          <w:jc w:val="center"/>
        </w:trPr>
        <w:tc>
          <w:tcPr>
            <w:tcW w:w="1143" w:type="dxa"/>
            <w:noWrap w:val="0"/>
            <w:vAlign w:val="center"/>
          </w:tcPr>
          <w:p w14:paraId="3C155B33">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2.1.2</w:t>
            </w:r>
          </w:p>
        </w:tc>
        <w:tc>
          <w:tcPr>
            <w:tcW w:w="1317" w:type="dxa"/>
            <w:noWrap w:val="0"/>
            <w:vAlign w:val="center"/>
          </w:tcPr>
          <w:p w14:paraId="73A935A2">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资格评审标准</w:t>
            </w:r>
          </w:p>
        </w:tc>
        <w:tc>
          <w:tcPr>
            <w:tcW w:w="7197" w:type="dxa"/>
            <w:gridSpan w:val="2"/>
            <w:noWrap w:val="0"/>
            <w:vAlign w:val="center"/>
          </w:tcPr>
          <w:p w14:paraId="230465E0">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（1）投标人具备有效的企业营业执照、组织机构代码证（三证合一或五证合一的除外）和基本账户开户许可证（或基本存款账户信息）；</w:t>
            </w:r>
          </w:p>
          <w:p w14:paraId="41D952B4">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（2）投标人的资质符合招标文件规定；</w:t>
            </w:r>
          </w:p>
          <w:p w14:paraId="2A6E5B0E">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（3）投标人的业绩符合招标文件规定；</w:t>
            </w:r>
          </w:p>
          <w:p w14:paraId="3ACC16E3">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（4）投标人的信誉符合招标文件规定；</w:t>
            </w:r>
          </w:p>
          <w:p w14:paraId="4FF9A223">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（5）投标人不存在第二章“投标人须知”第1.4.3项规定的任何一种情形。</w:t>
            </w:r>
          </w:p>
        </w:tc>
      </w:tr>
      <w:tr w14:paraId="56962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noWrap w:val="0"/>
            <w:vAlign w:val="center"/>
          </w:tcPr>
          <w:p w14:paraId="3A047F88">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b/>
                <w:color w:val="000000"/>
                <w:sz w:val="21"/>
                <w:szCs w:val="21"/>
                <w:highlight w:val="none"/>
              </w:rPr>
            </w:pPr>
            <w:r>
              <w:rPr>
                <w:rFonts w:hint="eastAsia" w:ascii="宋体" w:hAnsi="宋体" w:cs="宋体"/>
                <w:b/>
                <w:color w:val="000000"/>
                <w:sz w:val="21"/>
                <w:szCs w:val="21"/>
                <w:highlight w:val="none"/>
              </w:rPr>
              <w:t>条款号</w:t>
            </w:r>
          </w:p>
        </w:tc>
        <w:tc>
          <w:tcPr>
            <w:tcW w:w="1317" w:type="dxa"/>
            <w:noWrap w:val="0"/>
            <w:vAlign w:val="center"/>
          </w:tcPr>
          <w:p w14:paraId="0326A390">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b/>
                <w:color w:val="000000"/>
                <w:sz w:val="21"/>
                <w:szCs w:val="21"/>
                <w:highlight w:val="none"/>
              </w:rPr>
            </w:pPr>
            <w:r>
              <w:rPr>
                <w:rFonts w:hint="eastAsia" w:ascii="宋体" w:hAnsi="宋体" w:cs="宋体"/>
                <w:b/>
                <w:color w:val="000000"/>
                <w:sz w:val="21"/>
                <w:szCs w:val="21"/>
                <w:highlight w:val="none"/>
              </w:rPr>
              <w:t>条款内容</w:t>
            </w:r>
          </w:p>
        </w:tc>
        <w:tc>
          <w:tcPr>
            <w:tcW w:w="1517" w:type="dxa"/>
            <w:noWrap w:val="0"/>
            <w:vAlign w:val="center"/>
          </w:tcPr>
          <w:p w14:paraId="1C4118EF">
            <w:pPr>
              <w:keepNext w:val="0"/>
              <w:keepLines w:val="0"/>
              <w:pageBreakBefore w:val="0"/>
              <w:kinsoku/>
              <w:wordWrap/>
              <w:overflowPunct/>
              <w:topLinePunct w:val="0"/>
              <w:bidi w:val="0"/>
              <w:adjustRightInd w:val="0"/>
              <w:snapToGrid w:val="0"/>
              <w:spacing w:line="320" w:lineRule="exact"/>
              <w:jc w:val="center"/>
              <w:textAlignment w:val="auto"/>
              <w:rPr>
                <w:rFonts w:hint="default" w:ascii="宋体" w:hAnsi="宋体" w:eastAsia="宋体" w:cs="宋体"/>
                <w:b/>
                <w:color w:val="000000"/>
                <w:sz w:val="21"/>
                <w:szCs w:val="21"/>
                <w:highlight w:val="none"/>
                <w:lang w:val="en-US" w:eastAsia="zh-CN"/>
              </w:rPr>
            </w:pPr>
            <w:r>
              <w:rPr>
                <w:rFonts w:hint="eastAsia" w:ascii="宋体" w:hAnsi="宋体" w:cs="宋体"/>
                <w:b/>
                <w:color w:val="000000"/>
                <w:sz w:val="21"/>
                <w:szCs w:val="21"/>
                <w:highlight w:val="none"/>
                <w:lang w:val="en-US" w:eastAsia="zh-CN"/>
              </w:rPr>
              <w:t>量化因素</w:t>
            </w:r>
          </w:p>
        </w:tc>
        <w:tc>
          <w:tcPr>
            <w:tcW w:w="5680" w:type="dxa"/>
            <w:noWrap w:val="0"/>
            <w:vAlign w:val="center"/>
          </w:tcPr>
          <w:p w14:paraId="036D7CCF">
            <w:pPr>
              <w:keepNext w:val="0"/>
              <w:keepLines w:val="0"/>
              <w:pageBreakBefore w:val="0"/>
              <w:kinsoku/>
              <w:wordWrap/>
              <w:overflowPunct/>
              <w:topLinePunct w:val="0"/>
              <w:bidi w:val="0"/>
              <w:adjustRightInd w:val="0"/>
              <w:snapToGrid w:val="0"/>
              <w:spacing w:line="320" w:lineRule="exact"/>
              <w:jc w:val="center"/>
              <w:textAlignment w:val="auto"/>
              <w:rPr>
                <w:rFonts w:hint="default" w:ascii="宋体" w:hAnsi="宋体" w:eastAsia="宋体" w:cs="宋体"/>
                <w:b/>
                <w:color w:val="000000"/>
                <w:sz w:val="21"/>
                <w:szCs w:val="21"/>
                <w:highlight w:val="none"/>
                <w:lang w:val="en-US" w:eastAsia="zh-CN"/>
              </w:rPr>
            </w:pPr>
            <w:r>
              <w:rPr>
                <w:rFonts w:hint="eastAsia" w:ascii="宋体" w:hAnsi="宋体" w:cs="宋体"/>
                <w:b/>
                <w:color w:val="000000"/>
                <w:sz w:val="21"/>
                <w:szCs w:val="21"/>
                <w:highlight w:val="none"/>
                <w:lang w:val="en-US" w:eastAsia="zh-CN"/>
              </w:rPr>
              <w:t>量化标准</w:t>
            </w:r>
          </w:p>
        </w:tc>
      </w:tr>
      <w:tr w14:paraId="06620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noWrap w:val="0"/>
            <w:vAlign w:val="center"/>
          </w:tcPr>
          <w:p w14:paraId="536AF858">
            <w:pPr>
              <w:adjustRightInd w:val="0"/>
              <w:snapToGrid w:val="0"/>
              <w:spacing w:line="320" w:lineRule="exact"/>
              <w:jc w:val="center"/>
              <w:rPr>
                <w:rFonts w:hint="eastAsia" w:ascii="宋体" w:hAnsi="宋体" w:cs="宋体"/>
                <w:color w:val="000000"/>
                <w:sz w:val="21"/>
                <w:szCs w:val="21"/>
                <w:highlight w:val="none"/>
              </w:rPr>
            </w:pPr>
            <w:r>
              <w:rPr>
                <w:color w:val="auto"/>
                <w:sz w:val="21"/>
                <w:szCs w:val="21"/>
                <w:highlight w:val="none"/>
              </w:rPr>
              <w:t>2.2</w:t>
            </w:r>
          </w:p>
        </w:tc>
        <w:tc>
          <w:tcPr>
            <w:tcW w:w="1317" w:type="dxa"/>
            <w:noWrap w:val="0"/>
            <w:vAlign w:val="center"/>
          </w:tcPr>
          <w:p w14:paraId="0DBEBE3A">
            <w:pPr>
              <w:adjustRightInd w:val="0"/>
              <w:snapToGrid w:val="0"/>
              <w:spacing w:line="320" w:lineRule="exact"/>
              <w:jc w:val="center"/>
              <w:rPr>
                <w:rFonts w:hint="eastAsia" w:ascii="宋体" w:hAnsi="宋体" w:cs="宋体"/>
                <w:color w:val="000000"/>
                <w:sz w:val="21"/>
                <w:szCs w:val="21"/>
                <w:highlight w:val="none"/>
              </w:rPr>
            </w:pPr>
            <w:r>
              <w:rPr>
                <w:color w:val="auto"/>
                <w:sz w:val="21"/>
                <w:szCs w:val="21"/>
                <w:highlight w:val="none"/>
              </w:rPr>
              <w:t>详细评审标准</w:t>
            </w:r>
          </w:p>
        </w:tc>
        <w:tc>
          <w:tcPr>
            <w:tcW w:w="1517" w:type="dxa"/>
            <w:noWrap w:val="0"/>
            <w:vAlign w:val="center"/>
          </w:tcPr>
          <w:p w14:paraId="663D1DCE">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rightChars="0"/>
              <w:jc w:val="center"/>
              <w:textAlignment w:val="auto"/>
              <w:rPr>
                <w:rFonts w:hint="eastAsia" w:ascii="宋体" w:hAnsi="宋体" w:cs="宋体"/>
                <w:color w:val="000000"/>
                <w:sz w:val="21"/>
                <w:szCs w:val="21"/>
                <w:highlight w:val="none"/>
              </w:rPr>
            </w:pPr>
            <w:r>
              <w:rPr>
                <w:rFonts w:hint="eastAsia" w:ascii="宋体" w:hAnsi="宋体" w:eastAsia="宋体" w:cs="宋体"/>
                <w:strike w:val="0"/>
                <w:color w:val="auto"/>
                <w:sz w:val="21"/>
                <w:szCs w:val="21"/>
                <w:highlight w:val="none"/>
                <w:lang w:val="en-US" w:eastAsia="zh-CN"/>
              </w:rPr>
              <w:t>评标价计算</w:t>
            </w:r>
          </w:p>
        </w:tc>
        <w:tc>
          <w:tcPr>
            <w:tcW w:w="5680" w:type="dxa"/>
            <w:noWrap w:val="0"/>
            <w:vAlign w:val="center"/>
          </w:tcPr>
          <w:p w14:paraId="2B57FA6E">
            <w:pPr>
              <w:keepNext w:val="0"/>
              <w:keepLines w:val="0"/>
              <w:pageBreakBefore w:val="0"/>
              <w:widowControl w:val="0"/>
              <w:kinsoku/>
              <w:wordWrap/>
              <w:overflowPunct/>
              <w:topLinePunct w:val="0"/>
              <w:autoSpaceDE w:val="0"/>
              <w:autoSpaceDN w:val="0"/>
              <w:bidi w:val="0"/>
              <w:adjustRightInd/>
              <w:snapToGrid w:val="0"/>
              <w:spacing w:line="320" w:lineRule="exact"/>
              <w:ind w:left="21" w:leftChars="10" w:right="-20" w:rightChars="0"/>
              <w:jc w:val="both"/>
              <w:textAlignment w:val="auto"/>
              <w:rPr>
                <w:rFonts w:hint="eastAsia" w:ascii="宋体" w:hAnsi="宋体" w:cs="宋体"/>
                <w:color w:val="000000"/>
                <w:sz w:val="21"/>
                <w:szCs w:val="21"/>
                <w:highlight w:val="none"/>
              </w:rPr>
            </w:pPr>
            <w:r>
              <w:rPr>
                <w:rFonts w:hint="eastAsia" w:ascii="宋体" w:hAnsi="宋体" w:cs="宋体"/>
                <w:sz w:val="21"/>
                <w:szCs w:val="21"/>
                <w:highlight w:val="none"/>
                <w:lang w:val="en-US" w:eastAsia="zh-CN"/>
              </w:rPr>
              <w:t>经评审的投标价（</w:t>
            </w:r>
            <w:r>
              <w:rPr>
                <w:rFonts w:hint="eastAsia" w:ascii="宋体" w:hAnsi="宋体" w:cs="宋体"/>
                <w:sz w:val="21"/>
                <w:szCs w:val="21"/>
                <w:highlight w:val="none"/>
              </w:rPr>
              <w:t>评标价</w:t>
            </w:r>
            <w:r>
              <w:rPr>
                <w:rFonts w:hint="eastAsia" w:ascii="宋体" w:hAnsi="宋体" w:cs="宋体"/>
                <w:sz w:val="21"/>
                <w:szCs w:val="21"/>
                <w:highlight w:val="none"/>
                <w:lang w:eastAsia="zh-CN"/>
              </w:rPr>
              <w:t>）</w:t>
            </w:r>
            <w:r>
              <w:rPr>
                <w:rFonts w:hint="eastAsia" w:ascii="宋体" w:hAnsi="宋体" w:cs="宋体"/>
                <w:sz w:val="21"/>
                <w:szCs w:val="21"/>
                <w:highlight w:val="none"/>
              </w:rPr>
              <w:t>=修正后的投标报价。</w:t>
            </w:r>
          </w:p>
        </w:tc>
      </w:tr>
      <w:tr w14:paraId="19EA8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0F587C1D">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3.6.1</w:t>
            </w:r>
          </w:p>
        </w:tc>
        <w:tc>
          <w:tcPr>
            <w:tcW w:w="1317" w:type="dxa"/>
            <w:noWrap w:val="0"/>
            <w:vAlign w:val="center"/>
          </w:tcPr>
          <w:p w14:paraId="3AAAAFFB">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信息查询</w:t>
            </w:r>
          </w:p>
        </w:tc>
        <w:tc>
          <w:tcPr>
            <w:tcW w:w="7197" w:type="dxa"/>
            <w:gridSpan w:val="2"/>
            <w:noWrap w:val="0"/>
            <w:vAlign w:val="center"/>
          </w:tcPr>
          <w:p w14:paraId="55C02E84">
            <w:pPr>
              <w:keepNext w:val="0"/>
              <w:keepLines w:val="0"/>
              <w:pageBreakBefore w:val="0"/>
              <w:widowControl w:val="0"/>
              <w:kinsoku/>
              <w:wordWrap/>
              <w:overflowPunct/>
              <w:topLinePunct w:val="0"/>
              <w:bidi w:val="0"/>
              <w:adjustRightInd w:val="0"/>
              <w:snapToGrid w:val="0"/>
              <w:spacing w:line="320" w:lineRule="exact"/>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修改为：</w:t>
            </w:r>
          </w:p>
          <w:p w14:paraId="23662A65">
            <w:pPr>
              <w:keepNext w:val="0"/>
              <w:keepLines w:val="0"/>
              <w:pageBreakBefore w:val="0"/>
              <w:kinsoku/>
              <w:wordWrap/>
              <w:overflowPunct/>
              <w:topLinePunct w:val="0"/>
              <w:bidi w:val="0"/>
              <w:snapToGrid w:val="0"/>
              <w:spacing w:line="320" w:lineRule="exact"/>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在评标过程中，评标委员会应对以下信息进行查询：</w:t>
            </w:r>
          </w:p>
          <w:p w14:paraId="1185AF59">
            <w:pPr>
              <w:keepNext w:val="0"/>
              <w:keepLines w:val="0"/>
              <w:pageBreakBefore w:val="0"/>
              <w:kinsoku/>
              <w:wordWrap/>
              <w:overflowPunct/>
              <w:topLinePunct w:val="0"/>
              <w:bidi w:val="0"/>
              <w:snapToGrid w:val="0"/>
              <w:spacing w:line="320" w:lineRule="exact"/>
              <w:ind w:firstLine="327" w:firstLineChars="156"/>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（1）投标人信用情况网页截图内容与在“国家企业信用信息公示系统”中严重违法失信名单（黑名单）信息（不含分公司）</w:t>
            </w:r>
            <w:r>
              <w:rPr>
                <w:rFonts w:hint="eastAsia" w:ascii="宋体" w:hAnsi="宋体" w:cs="宋体"/>
                <w:color w:val="000000"/>
                <w:sz w:val="21"/>
                <w:szCs w:val="21"/>
                <w:highlight w:val="none"/>
                <w:lang w:eastAsia="zh-CN"/>
              </w:rPr>
              <w:t>和</w:t>
            </w:r>
            <w:r>
              <w:rPr>
                <w:rFonts w:hint="eastAsia" w:ascii="宋体" w:hAnsi="宋体" w:cs="宋体"/>
                <w:color w:val="000000"/>
                <w:sz w:val="21"/>
                <w:szCs w:val="21"/>
                <w:highlight w:val="none"/>
              </w:rPr>
              <w:t>在“信用中国”网站“中失信被执行人、经营</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lang w:val="en-US" w:eastAsia="zh-CN"/>
              </w:rPr>
              <w:t>活动</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rPr>
              <w:t>异常名录、重大税收违法失信主体、政府采购严重违法失信行为记录名单、安全生产严重失信主体名单（法人）（均不含分公司）的复核结果一致。</w:t>
            </w:r>
          </w:p>
          <w:p w14:paraId="73654396">
            <w:pPr>
              <w:keepNext w:val="0"/>
              <w:keepLines w:val="0"/>
              <w:pageBreakBefore w:val="0"/>
              <w:kinsoku/>
              <w:wordWrap/>
              <w:overflowPunct/>
              <w:topLinePunct w:val="0"/>
              <w:bidi w:val="0"/>
              <w:snapToGrid w:val="0"/>
              <w:spacing w:line="320" w:lineRule="exact"/>
              <w:ind w:firstLine="327" w:firstLineChars="156"/>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如投标人未提供相关网页截图或所附截图与复核结果不一致导致不能满足资格评审要求的，评标委员会应否决其投标。</w:t>
            </w:r>
          </w:p>
          <w:p w14:paraId="34BB9648">
            <w:pPr>
              <w:keepNext w:val="0"/>
              <w:keepLines w:val="0"/>
              <w:pageBreakBefore w:val="0"/>
              <w:kinsoku/>
              <w:wordWrap/>
              <w:overflowPunct/>
              <w:topLinePunct w:val="0"/>
              <w:autoSpaceDE w:val="0"/>
              <w:autoSpaceDN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tc>
      </w:tr>
      <w:tr w14:paraId="7E6EC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9657" w:type="dxa"/>
            <w:gridSpan w:val="4"/>
            <w:noWrap w:val="0"/>
            <w:vAlign w:val="center"/>
          </w:tcPr>
          <w:p w14:paraId="1CD53E5D">
            <w:pPr>
              <w:keepNext w:val="0"/>
              <w:keepLines w:val="0"/>
              <w:pageBreakBefore w:val="0"/>
              <w:widowControl w:val="0"/>
              <w:kinsoku/>
              <w:wordWrap/>
              <w:overflowPunct/>
              <w:topLinePunct w:val="0"/>
              <w:bidi w:val="0"/>
              <w:snapToGrid w:val="0"/>
              <w:spacing w:line="320" w:lineRule="exact"/>
              <w:textAlignment w:val="auto"/>
              <w:rPr>
                <w:rFonts w:hint="eastAsia" w:ascii="宋体" w:hAnsi="宋体" w:cs="宋体"/>
                <w:color w:val="000000"/>
                <w:sz w:val="21"/>
                <w:szCs w:val="21"/>
                <w:highlight w:val="none"/>
                <w:lang w:bidi="ar"/>
              </w:rPr>
            </w:pPr>
            <w:r>
              <w:rPr>
                <w:rFonts w:hint="eastAsia" w:ascii="宋体" w:hAnsi="宋体" w:eastAsia="宋体" w:cs="宋体"/>
                <w:color w:val="000000"/>
                <w:sz w:val="21"/>
                <w:szCs w:val="21"/>
                <w:highlight w:val="none"/>
              </w:rPr>
              <w:t>需要补充的其他内容：</w:t>
            </w:r>
            <w:r>
              <w:rPr>
                <w:rFonts w:hint="eastAsia" w:ascii="宋体" w:hAnsi="宋体" w:eastAsia="宋体" w:cs="宋体"/>
                <w:bCs/>
                <w:color w:val="000000"/>
                <w:sz w:val="21"/>
                <w:szCs w:val="21"/>
                <w:highlight w:val="none"/>
              </w:rPr>
              <w:t>无</w:t>
            </w:r>
          </w:p>
        </w:tc>
      </w:tr>
    </w:tbl>
    <w:p w14:paraId="4F62CFB0"/>
    <w:sectPr>
      <w:headerReference r:id="rId3" w:type="default"/>
      <w:footerReference r:id="rId4" w:type="default"/>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E8CC7">
    <w:pPr>
      <w:autoSpaceDE w:val="0"/>
      <w:autoSpaceDN w:val="0"/>
      <w:adjustRightInd w:val="0"/>
      <w:spacing w:line="200" w:lineRule="exact"/>
      <w:jc w:val="left"/>
      <w:rPr>
        <w:kern w:val="0"/>
        <w:sz w:val="20"/>
        <w:szCs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7C22A3">
                          <w:pPr>
                            <w:pStyle w:val="4"/>
                          </w:pPr>
                          <w:r>
                            <w:fldChar w:fldCharType="begin"/>
                          </w:r>
                          <w:r>
                            <w:instrText xml:space="preserve"> PAGE  \* MERGEFORMAT </w:instrText>
                          </w:r>
                          <w:r>
                            <w:fldChar w:fldCharType="separate"/>
                          </w:r>
                          <w:r>
                            <w:t>23</w:t>
                          </w:r>
                          <w:r>
                            <w:fldChar w:fldCharType="end"/>
                          </w:r>
                        </w:p>
                      </w:txbxContent>
                    </wps:txbx>
                    <wps:bodyPr wrap="none" lIns="0" tIns="0" rIns="0" bIns="0">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UevScIBAACOAwAADgAAAGRycy9lMm9Eb2MueG1srVPNjtMwEL4j8Q6W&#10;79RpJaCK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bEcYsDv3z/dvnx6/LzK1m+&#10;zPr0AWpMuwuYmIa3fsCtmf2Azkx7UNHmLxIiGEd1z1d15ZCIyI/Wq/W6wpDA2HxBfPbwPERI76S3&#10;JBsNjTi+oio/fYA0ps4puZrzt9qYMkLj/nIgZvaw3PvYY7bSsB8mQnvfnpFPj5NvqMNFp8S8dyhs&#10;XpLZiLOxn4xcA8KbY8LCpZ+MOkJNxXBMhdG0UnkP/ryXrIffaPs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1Hr0nCAQAAjgMAAA4AAAAAAAAAAQAgAAAAHgEAAGRycy9lMm9Eb2MueG1sUEsF&#10;BgAAAAAGAAYAWQEAAFIFAAAAAA==&#10;">
              <v:fill on="f" focussize="0,0"/>
              <v:stroke on="f"/>
              <v:imagedata o:title=""/>
              <o:lock v:ext="edit" aspectratio="f"/>
              <v:textbox inset="0mm,0mm,0mm,0mm" style="mso-fit-shape-to-text:t;">
                <w:txbxContent>
                  <w:p w14:paraId="587C22A3">
                    <w:pPr>
                      <w:pStyle w:val="4"/>
                    </w:pPr>
                    <w:r>
                      <w:fldChar w:fldCharType="begin"/>
                    </w:r>
                    <w:r>
                      <w:instrText xml:space="preserve"> PAGE  \* MERGEFORMAT </w:instrText>
                    </w:r>
                    <w:r>
                      <w:fldChar w:fldCharType="separate"/>
                    </w:r>
                    <w:r>
                      <w:t>23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FC304">
    <w:pPr>
      <w:spacing w:line="222" w:lineRule="auto"/>
      <w:jc w:val="right"/>
      <w:rPr>
        <w:rFonts w:ascii="仿宋" w:hAnsi="仿宋" w:cs="仿宋"/>
        <w:sz w:val="18"/>
        <w:szCs w:val="18"/>
      </w:rPr>
    </w:pPr>
    <w:r>
      <w:rPr>
        <w:sz w:val="18"/>
        <w:szCs w:val="18"/>
      </w:rPr>
      <mc:AlternateContent>
        <mc:Choice Requires="wps">
          <w:drawing>
            <wp:anchor distT="0" distB="0" distL="114300" distR="114300" simplePos="0" relativeHeight="251659264" behindDoc="0" locked="0" layoutInCell="0" allowOverlap="1">
              <wp:simplePos x="0" y="0"/>
              <wp:positionH relativeFrom="page">
                <wp:posOffset>900430</wp:posOffset>
              </wp:positionH>
              <wp:positionV relativeFrom="page">
                <wp:posOffset>684530</wp:posOffset>
              </wp:positionV>
              <wp:extent cx="5796280" cy="9525"/>
              <wp:effectExtent l="0" t="0" r="0" b="0"/>
              <wp:wrapNone/>
              <wp:docPr id="2" name="任意多边形 5"/>
              <wp:cNvGraphicFramePr/>
              <a:graphic xmlns:a="http://schemas.openxmlformats.org/drawingml/2006/main">
                <a:graphicData uri="http://schemas.microsoft.com/office/word/2010/wordprocessingShape">
                  <wps:wsp>
                    <wps:cNvSpPr/>
                    <wps:spPr>
                      <a:xfrm>
                        <a:off x="0" y="0"/>
                        <a:ext cx="5796280" cy="9525"/>
                      </a:xfrm>
                      <a:custGeom>
                        <a:avLst/>
                        <a:gdLst/>
                        <a:ahLst/>
                        <a:cxnLst/>
                        <a:pathLst>
                          <a:path w="9127" h="15">
                            <a:moveTo>
                              <a:pt x="0" y="0"/>
                            </a:moveTo>
                            <a:lnTo>
                              <a:pt x="9127" y="0"/>
                            </a:lnTo>
                            <a:lnTo>
                              <a:pt x="9127" y="14"/>
                            </a:lnTo>
                            <a:lnTo>
                              <a:pt x="0" y="14"/>
                            </a:lnTo>
                            <a:lnTo>
                              <a:pt x="0" y="0"/>
                            </a:lnTo>
                            <a:close/>
                          </a:path>
                        </a:pathLst>
                      </a:custGeom>
                      <a:solidFill>
                        <a:srgbClr val="000000"/>
                      </a:solidFill>
                      <a:ln>
                        <a:noFill/>
                      </a:ln>
                    </wps:spPr>
                    <wps:bodyPr wrap="square" upright="1"/>
                  </wps:wsp>
                </a:graphicData>
              </a:graphic>
            </wp:anchor>
          </w:drawing>
        </mc:Choice>
        <mc:Fallback>
          <w:pict>
            <v:shape id="任意多边形 5" o:spid="_x0000_s1026" o:spt="100" style="position:absolute;left:0pt;margin-left:70.9pt;margin-top:53.9pt;height:0.75pt;width:456.4pt;mso-position-horizontal-relative:page;mso-position-vertical-relative:page;z-index:251659264;mso-width-relative:page;mso-height-relative:page;" fillcolor="#000000" filled="t" stroked="f" coordsize="9127,15" o:allowincell="f" o:gfxdata="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J+qV8vXAAAADAEAAA8A&#10;AAAAAAAAAQAgAAAAIgAAAGRycy9kb3ducmV2LnhtbFBLAQIUABQAAAAIAIdO4kBj2zyYGAIAAIkE&#10;AAAOAAAAAAAAAAEAIAAAACYBAABkcnMvZTJvRG9jLnhtbFBLBQYAAAAABgAGAFkBAACwBQAAAAA=&#10;" path="m0,0l9127,0,9127,14,0,14,0,0xe">
              <v:fill on="t" focussize="0,0"/>
              <v:stroke on="f"/>
              <v:imagedata o:title=""/>
              <o:lock v:ext="edit" aspectratio="f"/>
            </v:shape>
          </w:pict>
        </mc:Fallback>
      </mc:AlternateContent>
    </w:r>
    <w:r>
      <w:rPr>
        <w:rFonts w:hint="eastAsia"/>
        <w:sz w:val="18"/>
        <w:szCs w:val="18"/>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090D39"/>
    <w:rsid w:val="2F8266AE"/>
    <w:rsid w:val="5E377A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240"/>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eastAsia="宋体" w:cs="Times New Roman"/>
      <w:b/>
      <w:bCs/>
      <w:sz w:val="21"/>
      <w:szCs w:val="21"/>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kern w:val="0"/>
      <w:sz w:val="18"/>
      <w:szCs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4026</Words>
  <Characters>4298</Characters>
  <Lines>0</Lines>
  <Paragraphs>0</Paragraphs>
  <TotalTime>0</TotalTime>
  <ScaleCrop>false</ScaleCrop>
  <LinksUpToDate>false</LinksUpToDate>
  <CharactersWithSpaces>4362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冯士峰</cp:lastModifiedBy>
  <dcterms:modified xsi:type="dcterms:W3CDTF">2025-11-20T00:39:39Z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CF58DBFDBD8A45269F9CDECC14BC5366_12</vt:lpwstr>
  </property>
  <property fmtid="{D5CDD505-2E9C-101B-9397-08002B2CF9AE}" pid="4" name="KSOTemplateDocerSaveRecord">
    <vt:lpwstr>eyJoZGlkIjoiMjNhMGNiNzBmYzRmYmU1YWU1ZDVjYzI3MTI0YTIzZjQiLCJ1c2VySWQiOiIxNjg3ODQzOTczIn0=</vt:lpwstr>
  </property>
</Properties>
</file>