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37651">
      <w:pPr>
        <w:spacing w:line="360" w:lineRule="auto"/>
        <w:jc w:val="right"/>
        <w:rPr>
          <w:sz w:val="13"/>
          <w:szCs w:val="13"/>
          <w:highlight w:val="none"/>
        </w:rPr>
      </w:pPr>
      <w:bookmarkStart w:id="0" w:name="_Hlk517255404"/>
    </w:p>
    <w:p w14:paraId="7D96E592">
      <w:pPr>
        <w:adjustRightInd w:val="0"/>
        <w:snapToGrid w:val="0"/>
        <w:spacing w:before="120" w:beforeLines="50" w:line="276" w:lineRule="auto"/>
        <w:rPr>
          <w:b/>
          <w:sz w:val="24"/>
          <w:highlight w:val="none"/>
        </w:rPr>
      </w:pPr>
      <w:bookmarkStart w:id="1" w:name="_Toc514238201"/>
      <w:bookmarkStart w:id="15" w:name="_GoBack"/>
      <w:bookmarkEnd w:id="15"/>
      <w:r>
        <w:rPr>
          <w:b/>
          <w:sz w:val="24"/>
          <w:highlight w:val="none"/>
        </w:rPr>
        <w:t>附件1：资格审查条件</w:t>
      </w:r>
      <w:bookmarkEnd w:id="1"/>
    </w:p>
    <w:p w14:paraId="09AD75C9">
      <w:pPr>
        <w:pStyle w:val="29"/>
        <w:rPr>
          <w:highlight w:val="none"/>
        </w:rPr>
      </w:pPr>
    </w:p>
    <w:p w14:paraId="2D0B704C">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14"/>
        <w:tblW w:w="9365"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312"/>
        <w:gridCol w:w="7327"/>
      </w:tblGrid>
      <w:tr w14:paraId="6492430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26" w:type="dxa"/>
            <w:tcBorders>
              <w:top w:val="single" w:color="auto" w:sz="2" w:space="0"/>
              <w:left w:val="single" w:color="auto" w:sz="2" w:space="0"/>
              <w:bottom w:val="single" w:color="auto" w:sz="2" w:space="0"/>
              <w:right w:val="single" w:color="auto" w:sz="2" w:space="0"/>
            </w:tcBorders>
            <w:noWrap w:val="0"/>
            <w:vAlign w:val="center"/>
          </w:tcPr>
          <w:p w14:paraId="243E4A96">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标段</w:t>
            </w:r>
          </w:p>
        </w:tc>
        <w:tc>
          <w:tcPr>
            <w:tcW w:w="1312" w:type="dxa"/>
            <w:tcBorders>
              <w:top w:val="single" w:color="auto" w:sz="2" w:space="0"/>
              <w:left w:val="single" w:color="auto" w:sz="2" w:space="0"/>
              <w:bottom w:val="single" w:color="auto" w:sz="2" w:space="0"/>
              <w:right w:val="single" w:color="auto" w:sz="2" w:space="0"/>
            </w:tcBorders>
            <w:noWrap w:val="0"/>
            <w:vAlign w:val="center"/>
          </w:tcPr>
          <w:p w14:paraId="72C2385A">
            <w:pPr>
              <w:keepNext w:val="0"/>
              <w:keepLines w:val="0"/>
              <w:suppressLineNumbers w:val="0"/>
              <w:spacing w:before="0" w:beforeAutospacing="0" w:after="0" w:afterAutospacing="0"/>
              <w:ind w:left="0" w:right="0"/>
              <w:jc w:val="center"/>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投标人身份</w:t>
            </w:r>
          </w:p>
        </w:tc>
        <w:tc>
          <w:tcPr>
            <w:tcW w:w="7327" w:type="dxa"/>
            <w:tcBorders>
              <w:top w:val="single" w:color="auto" w:sz="2" w:space="0"/>
              <w:left w:val="single" w:color="auto" w:sz="2" w:space="0"/>
              <w:bottom w:val="single" w:color="auto" w:sz="2" w:space="0"/>
              <w:right w:val="single" w:color="auto" w:sz="2" w:space="0"/>
            </w:tcBorders>
            <w:noWrap w:val="0"/>
            <w:vAlign w:val="center"/>
          </w:tcPr>
          <w:p w14:paraId="22CCEE09">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资质要求</w:t>
            </w:r>
          </w:p>
        </w:tc>
      </w:tr>
      <w:tr w14:paraId="5B1F2E4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726" w:type="dxa"/>
            <w:tcBorders>
              <w:top w:val="single" w:color="auto" w:sz="2" w:space="0"/>
              <w:left w:val="single" w:color="auto" w:sz="2" w:space="0"/>
              <w:bottom w:val="single" w:color="auto" w:sz="2" w:space="0"/>
              <w:right w:val="single" w:color="auto" w:sz="2" w:space="0"/>
            </w:tcBorders>
            <w:noWrap w:val="0"/>
            <w:vAlign w:val="center"/>
          </w:tcPr>
          <w:p w14:paraId="2CCA090B">
            <w:pPr>
              <w:keepNext w:val="0"/>
              <w:keepLines w:val="0"/>
              <w:suppressLineNumbers w:val="0"/>
              <w:spacing w:before="0" w:beforeAutospacing="0" w:after="0" w:afterAutospacing="0"/>
              <w:ind w:left="0" w:right="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312" w:type="dxa"/>
            <w:tcBorders>
              <w:top w:val="single" w:color="auto" w:sz="2" w:space="0"/>
              <w:left w:val="single" w:color="auto" w:sz="2" w:space="0"/>
              <w:bottom w:val="single" w:color="auto" w:sz="2" w:space="0"/>
              <w:right w:val="single" w:color="auto" w:sz="2" w:space="0"/>
            </w:tcBorders>
            <w:noWrap w:val="0"/>
            <w:vAlign w:val="center"/>
          </w:tcPr>
          <w:p w14:paraId="02FC84DA">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银行类</w:t>
            </w:r>
          </w:p>
        </w:tc>
        <w:tc>
          <w:tcPr>
            <w:tcW w:w="7327" w:type="dxa"/>
            <w:tcBorders>
              <w:top w:val="single" w:color="auto" w:sz="2" w:space="0"/>
              <w:left w:val="single" w:color="auto" w:sz="2" w:space="0"/>
              <w:bottom w:val="single" w:color="auto" w:sz="2" w:space="0"/>
              <w:right w:val="single" w:color="auto" w:sz="2" w:space="0"/>
            </w:tcBorders>
            <w:noWrap w:val="0"/>
            <w:vAlign w:val="center"/>
          </w:tcPr>
          <w:p w14:paraId="35E608DA">
            <w:pPr>
              <w:keepNext w:val="0"/>
              <w:keepLines w:val="0"/>
              <w:suppressLineNumbers w:val="0"/>
              <w:spacing w:before="0" w:beforeAutospacing="0" w:after="0" w:afterAutospacing="0" w:line="240" w:lineRule="auto"/>
              <w:ind w:left="0" w:right="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在中华人民共和国境内注册的独立法人或其他组织，</w:t>
            </w:r>
            <w:r>
              <w:rPr>
                <w:rFonts w:hint="eastAsia" w:ascii="宋体" w:hAnsi="宋体" w:eastAsia="宋体" w:cs="宋体"/>
                <w:bCs/>
                <w:color w:val="auto"/>
                <w:sz w:val="21"/>
                <w:szCs w:val="21"/>
                <w:highlight w:val="none"/>
                <w:lang w:val="en-US" w:eastAsia="zh-CN"/>
              </w:rPr>
              <w:t>持有有</w:t>
            </w:r>
            <w:r>
              <w:rPr>
                <w:rFonts w:hint="eastAsia" w:ascii="宋体" w:hAnsi="宋体" w:cs="宋体"/>
                <w:bCs/>
                <w:color w:val="auto"/>
                <w:sz w:val="21"/>
                <w:szCs w:val="21"/>
                <w:highlight w:val="none"/>
                <w:lang w:val="en-US" w:eastAsia="zh-CN"/>
              </w:rPr>
              <w:t>效</w:t>
            </w:r>
            <w:r>
              <w:rPr>
                <w:rFonts w:hint="eastAsia" w:ascii="宋体" w:hAnsi="宋体" w:eastAsia="宋体" w:cs="宋体"/>
                <w:bCs/>
                <w:color w:val="auto"/>
                <w:sz w:val="21"/>
                <w:szCs w:val="21"/>
                <w:highlight w:val="none"/>
                <w:lang w:val="en-US" w:eastAsia="zh-CN"/>
              </w:rPr>
              <w:t>的营业执照；2.</w:t>
            </w:r>
            <w:r>
              <w:rPr>
                <w:rFonts w:hint="eastAsia" w:ascii="宋体" w:hAnsi="宋体" w:eastAsia="宋体" w:cs="宋体"/>
                <w:bCs/>
                <w:color w:val="auto"/>
                <w:sz w:val="21"/>
                <w:szCs w:val="21"/>
                <w:highlight w:val="none"/>
                <w:lang w:eastAsia="zh-CN"/>
              </w:rPr>
              <w:t>投标人应为市级及以上银行分行机构或总行，银行总行为全国银行间市场交易商协会A类承销商（在全国范围内可开展债务融资工具承销工作）。</w:t>
            </w:r>
          </w:p>
        </w:tc>
      </w:tr>
      <w:tr w14:paraId="7CC04AE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726" w:type="dxa"/>
            <w:tcBorders>
              <w:top w:val="single" w:color="auto" w:sz="2" w:space="0"/>
              <w:left w:val="single" w:color="auto" w:sz="2" w:space="0"/>
              <w:bottom w:val="single" w:color="auto" w:sz="2" w:space="0"/>
              <w:right w:val="single" w:color="auto" w:sz="2" w:space="0"/>
            </w:tcBorders>
            <w:noWrap w:val="0"/>
            <w:vAlign w:val="center"/>
          </w:tcPr>
          <w:p w14:paraId="76492886">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312" w:type="dxa"/>
            <w:tcBorders>
              <w:top w:val="single" w:color="auto" w:sz="2" w:space="0"/>
              <w:left w:val="single" w:color="auto" w:sz="2" w:space="0"/>
              <w:bottom w:val="single" w:color="auto" w:sz="2" w:space="0"/>
              <w:right w:val="single" w:color="auto" w:sz="2" w:space="0"/>
            </w:tcBorders>
            <w:noWrap w:val="0"/>
            <w:vAlign w:val="center"/>
          </w:tcPr>
          <w:p w14:paraId="0107E1BE">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券商类</w:t>
            </w:r>
          </w:p>
        </w:tc>
        <w:tc>
          <w:tcPr>
            <w:tcW w:w="7327" w:type="dxa"/>
            <w:tcBorders>
              <w:top w:val="single" w:color="auto" w:sz="2" w:space="0"/>
              <w:left w:val="single" w:color="auto" w:sz="2" w:space="0"/>
              <w:bottom w:val="single" w:color="auto" w:sz="2" w:space="0"/>
              <w:right w:val="single" w:color="auto" w:sz="2" w:space="0"/>
            </w:tcBorders>
            <w:noWrap w:val="0"/>
            <w:vAlign w:val="center"/>
          </w:tcPr>
          <w:p w14:paraId="42F7903C">
            <w:pPr>
              <w:keepNext w:val="0"/>
              <w:keepLines w:val="0"/>
              <w:numPr>
                <w:ilvl w:val="0"/>
                <w:numId w:val="0"/>
              </w:numPr>
              <w:suppressLineNumbers w:val="0"/>
              <w:spacing w:before="0" w:beforeAutospacing="0" w:after="0" w:afterAutospacing="0" w:line="240" w:lineRule="auto"/>
              <w:ind w:left="0" w:right="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在中华人民共和国境内注册的独立法人或其他组织，</w:t>
            </w:r>
            <w:r>
              <w:rPr>
                <w:rFonts w:hint="eastAsia" w:ascii="宋体" w:hAnsi="宋体" w:eastAsia="宋体" w:cs="宋体"/>
                <w:bCs/>
                <w:color w:val="auto"/>
                <w:sz w:val="21"/>
                <w:szCs w:val="21"/>
                <w:highlight w:val="none"/>
                <w:lang w:val="en-US" w:eastAsia="zh-CN"/>
              </w:rPr>
              <w:t>持有有</w:t>
            </w:r>
            <w:r>
              <w:rPr>
                <w:rFonts w:hint="eastAsia" w:ascii="宋体" w:hAnsi="宋体" w:cs="宋体"/>
                <w:bCs/>
                <w:color w:val="auto"/>
                <w:sz w:val="21"/>
                <w:szCs w:val="21"/>
                <w:highlight w:val="none"/>
                <w:lang w:val="en-US" w:eastAsia="zh-CN"/>
              </w:rPr>
              <w:t>效</w:t>
            </w:r>
            <w:r>
              <w:rPr>
                <w:rFonts w:hint="eastAsia" w:ascii="宋体" w:hAnsi="宋体" w:eastAsia="宋体" w:cs="宋体"/>
                <w:bCs/>
                <w:color w:val="auto"/>
                <w:sz w:val="21"/>
                <w:szCs w:val="21"/>
                <w:highlight w:val="none"/>
                <w:lang w:val="en-US" w:eastAsia="zh-CN"/>
              </w:rPr>
              <w:t>的营业执照；</w:t>
            </w:r>
          </w:p>
          <w:p w14:paraId="610AF7E5">
            <w:pPr>
              <w:keepNext w:val="0"/>
              <w:keepLines w:val="0"/>
              <w:numPr>
                <w:ilvl w:val="0"/>
                <w:numId w:val="0"/>
              </w:numPr>
              <w:suppressLineNumbers w:val="0"/>
              <w:spacing w:before="0" w:beforeAutospacing="0" w:after="0" w:afterAutospacing="0" w:line="240" w:lineRule="auto"/>
              <w:ind w:left="0" w:right="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投标人应为全国银行间市场交易商协会A类承销商（在全国范围内可开展债务融资工具承销工作）。</w:t>
            </w:r>
          </w:p>
        </w:tc>
      </w:tr>
    </w:tbl>
    <w:p w14:paraId="5ACA63BF">
      <w:pPr>
        <w:adjustRightInd w:val="0"/>
        <w:spacing w:line="400" w:lineRule="exact"/>
        <w:jc w:val="center"/>
        <w:rPr>
          <w:b/>
          <w:sz w:val="24"/>
          <w:szCs w:val="24"/>
          <w:highlight w:val="none"/>
        </w:rPr>
      </w:pPr>
    </w:p>
    <w:p w14:paraId="18ABF81E">
      <w:pPr>
        <w:pStyle w:val="6"/>
        <w:rPr>
          <w:b/>
          <w:sz w:val="24"/>
          <w:highlight w:val="none"/>
        </w:rPr>
      </w:pPr>
    </w:p>
    <w:p w14:paraId="5383411D">
      <w:pPr>
        <w:adjustRightInd w:val="0"/>
        <w:spacing w:line="400" w:lineRule="exact"/>
        <w:jc w:val="center"/>
        <w:rPr>
          <w:b/>
          <w:sz w:val="24"/>
          <w:szCs w:val="24"/>
          <w:highlight w:val="none"/>
        </w:rPr>
      </w:pPr>
      <w:r>
        <w:rPr>
          <w:b/>
          <w:sz w:val="24"/>
          <w:szCs w:val="24"/>
          <w:highlight w:val="none"/>
        </w:rPr>
        <w:t>附录</w:t>
      </w:r>
      <w:r>
        <w:rPr>
          <w:rFonts w:hint="eastAsia"/>
          <w:b/>
          <w:sz w:val="24"/>
          <w:szCs w:val="24"/>
          <w:highlight w:val="none"/>
          <w:lang w:val="en-US" w:eastAsia="zh-CN"/>
        </w:rPr>
        <w:t>2</w:t>
      </w:r>
      <w:r>
        <w:rPr>
          <w:b/>
          <w:sz w:val="24"/>
          <w:szCs w:val="24"/>
          <w:highlight w:val="none"/>
        </w:rPr>
        <w:t xml:space="preserve"> 资格审查条件（信誉最低要求）</w:t>
      </w:r>
    </w:p>
    <w:tbl>
      <w:tblPr>
        <w:tblStyle w:val="14"/>
        <w:tblW w:w="9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9"/>
      </w:tblGrid>
      <w:tr w14:paraId="353C6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359" w:type="dxa"/>
            <w:noWrap w:val="0"/>
            <w:vAlign w:val="center"/>
          </w:tcPr>
          <w:p w14:paraId="2BC5610A">
            <w:pPr>
              <w:pStyle w:val="12"/>
              <w:keepNext w:val="0"/>
              <w:keepLines w:val="0"/>
              <w:suppressLineNumbers w:val="0"/>
              <w:spacing w:before="0" w:beforeAutospacing="0" w:after="0" w:afterAutospacing="0" w:line="240" w:lineRule="auto"/>
              <w:ind w:left="0" w:right="0" w:firstLine="0"/>
              <w:contextualSpacing/>
              <w:jc w:val="center"/>
              <w:rPr>
                <w:rFonts w:ascii="Times New Roman" w:hAnsi="Times New Roman"/>
                <w:sz w:val="21"/>
                <w:szCs w:val="21"/>
                <w:highlight w:val="none"/>
              </w:rPr>
            </w:pPr>
            <w:r>
              <w:rPr>
                <w:rFonts w:ascii="Times New Roman" w:hAnsi="Times New Roman"/>
                <w:color w:val="000000" w:themeColor="text1"/>
                <w:sz w:val="21"/>
                <w:szCs w:val="21"/>
                <w:highlight w:val="none"/>
                <w14:textFill>
                  <w14:solidFill>
                    <w14:schemeClr w14:val="tx1"/>
                  </w14:solidFill>
                </w14:textFill>
              </w:rPr>
              <w:t>信誉要求</w:t>
            </w:r>
          </w:p>
        </w:tc>
      </w:tr>
      <w:tr w14:paraId="71D33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359" w:type="dxa"/>
            <w:noWrap w:val="0"/>
            <w:vAlign w:val="center"/>
          </w:tcPr>
          <w:p w14:paraId="56276853">
            <w:pPr>
              <w:keepNext w:val="0"/>
              <w:keepLines w:val="0"/>
              <w:numPr>
                <w:ilvl w:val="0"/>
                <w:numId w:val="0"/>
              </w:numPr>
              <w:suppressLineNumbers w:val="0"/>
              <w:spacing w:before="0" w:beforeAutospacing="0" w:after="0" w:afterAutospacing="0"/>
              <w:ind w:left="0" w:right="0" w:firstLine="420" w:firstLineChars="200"/>
              <w:rPr>
                <w:rFonts w:hint="default" w:eastAsia="宋体"/>
                <w:highlight w:val="none"/>
                <w:lang w:val="en-US" w:eastAsia="zh-CN"/>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1日至投标截止时间）不</w:t>
            </w:r>
            <w:r>
              <w:rPr>
                <w:rFonts w:hint="eastAsia"/>
                <w:sz w:val="21"/>
                <w:szCs w:val="21"/>
                <w:highlight w:val="none"/>
                <w:lang w:eastAsia="zh-CN"/>
              </w:rPr>
              <w:t>曾在中期票据承销合</w:t>
            </w:r>
            <w:r>
              <w:rPr>
                <w:rFonts w:hint="eastAsia"/>
                <w:sz w:val="21"/>
                <w:szCs w:val="21"/>
                <w:highlight w:val="none"/>
                <w:lang w:val="en-US" w:eastAsia="zh-CN"/>
              </w:rPr>
              <w:t>同</w:t>
            </w:r>
            <w:r>
              <w:rPr>
                <w:sz w:val="21"/>
                <w:szCs w:val="21"/>
                <w:highlight w:val="none"/>
              </w:rPr>
              <w:t>中违约而被驱逐或因投标人自身的原因而使</w:t>
            </w:r>
            <w:r>
              <w:rPr>
                <w:rFonts w:hint="eastAsia"/>
                <w:sz w:val="21"/>
                <w:szCs w:val="21"/>
                <w:highlight w:val="none"/>
              </w:rPr>
              <w:t>中期票据承销</w:t>
            </w:r>
            <w:r>
              <w:rPr>
                <w:rFonts w:hint="eastAsia"/>
                <w:sz w:val="21"/>
                <w:szCs w:val="21"/>
                <w:highlight w:val="none"/>
                <w:lang w:eastAsia="zh-CN"/>
              </w:rPr>
              <w:t>合</w:t>
            </w:r>
            <w:r>
              <w:rPr>
                <w:rFonts w:hint="eastAsia"/>
                <w:sz w:val="21"/>
                <w:szCs w:val="21"/>
                <w:highlight w:val="none"/>
                <w:lang w:val="en-US" w:eastAsia="zh-CN"/>
              </w:rPr>
              <w:t>同</w:t>
            </w:r>
            <w:r>
              <w:rPr>
                <w:sz w:val="21"/>
                <w:szCs w:val="21"/>
                <w:highlight w:val="none"/>
              </w:rPr>
              <w:t>被解除</w:t>
            </w:r>
            <w:r>
              <w:rPr>
                <w:rFonts w:hint="eastAsia"/>
                <w:sz w:val="21"/>
                <w:szCs w:val="21"/>
                <w:highlight w:val="none"/>
              </w:rPr>
              <w:t>。</w:t>
            </w:r>
          </w:p>
        </w:tc>
      </w:tr>
    </w:tbl>
    <w:p w14:paraId="2767D48F">
      <w:pPr>
        <w:adjustRightInd w:val="0"/>
        <w:spacing w:line="400" w:lineRule="exact"/>
        <w:jc w:val="center"/>
        <w:rPr>
          <w:b/>
          <w:sz w:val="24"/>
          <w:szCs w:val="24"/>
          <w:highlight w:val="none"/>
        </w:rPr>
      </w:pPr>
    </w:p>
    <w:p w14:paraId="7C65EA84">
      <w:pPr>
        <w:tabs>
          <w:tab w:val="left" w:pos="4080"/>
        </w:tabs>
        <w:spacing w:line="360" w:lineRule="auto"/>
        <w:rPr>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30"/>
        <w:numPr>
          <w:numId w:val="0"/>
        </w:numPr>
        <w:spacing w:line="276" w:lineRule="auto"/>
        <w:ind w:left="240" w:leftChars="0" w:firstLine="0" w:firstLineChars="0"/>
        <w:rPr>
          <w:rFonts w:ascii="Times New Roman" w:hAnsi="Times New Roman" w:eastAsia="宋体"/>
          <w:sz w:val="30"/>
          <w:szCs w:val="30"/>
          <w:highlight w:val="none"/>
        </w:rPr>
      </w:pPr>
      <w:bookmarkStart w:id="4" w:name="_Hlk93740604"/>
      <w:bookmarkStart w:id="5" w:name="_Toc509660966"/>
      <w:bookmarkStart w:id="6" w:name="_Toc450319202"/>
      <w:bookmarkStart w:id="7" w:name="_Toc502992691"/>
      <w:bookmarkStart w:id="8" w:name="_Toc514238202"/>
      <w:bookmarkStart w:id="9" w:name="_Toc509659998"/>
      <w:bookmarkStart w:id="10" w:name="_Toc459307890"/>
      <w:bookmarkStart w:id="11" w:name="_Toc445222503"/>
      <w:bookmarkStart w:id="12" w:name="_Toc445382083"/>
      <w:bookmarkStart w:id="13" w:name="_Toc444088432"/>
      <w:bookmarkStart w:id="14" w:name="_Toc444271617"/>
      <w:r>
        <w:rPr>
          <w:rFonts w:hint="default" w:ascii="Times New Roman" w:hAnsi="Times New Roman" w:eastAsia="宋体" w:cs="Times New Roman"/>
          <w:b/>
          <w:i w:val="0"/>
          <w:kern w:val="28"/>
          <w:sz w:val="21"/>
          <w:szCs w:val="21"/>
          <w:lang w:val="en-US" w:eastAsia="zh-CN" w:bidi="ar-SA"/>
        </w:rPr>
        <w:t>9.1</w:t>
      </w:r>
      <w:r>
        <w:rPr>
          <w:rFonts w:ascii="Times New Roman" w:hAnsi="Times New Roman" w:eastAsia="宋体"/>
          <w:sz w:val="30"/>
          <w:szCs w:val="30"/>
          <w:highlight w:val="none"/>
        </w:rPr>
        <w:t>评标办法</w:t>
      </w:r>
      <w:bookmarkEnd w:id="4"/>
      <w:r>
        <w:rPr>
          <w:rFonts w:ascii="Times New Roman" w:hAnsi="Times New Roman" w:eastAsia="宋体"/>
          <w:sz w:val="30"/>
          <w:szCs w:val="30"/>
          <w:highlight w:val="none"/>
        </w:rPr>
        <w:t>（综合评估法）</w:t>
      </w:r>
      <w:bookmarkEnd w:id="5"/>
      <w:bookmarkEnd w:id="6"/>
      <w:bookmarkEnd w:id="7"/>
      <w:bookmarkEnd w:id="8"/>
      <w:bookmarkEnd w:id="9"/>
      <w:bookmarkEnd w:id="10"/>
    </w:p>
    <w:bookmarkEnd w:id="0"/>
    <w:bookmarkEnd w:id="11"/>
    <w:bookmarkEnd w:id="12"/>
    <w:bookmarkEnd w:id="13"/>
    <w:bookmarkEnd w:id="14"/>
    <w:p w14:paraId="32A70153">
      <w:pPr>
        <w:pStyle w:val="30"/>
        <w:numPr>
          <w:numId w:val="0"/>
        </w:numPr>
        <w:spacing w:line="276" w:lineRule="auto"/>
        <w:ind w:left="240" w:leftChars="0" w:firstLine="0" w:firstLineChars="0"/>
        <w:jc w:val="both"/>
        <w:rPr>
          <w:rFonts w:ascii="Times New Roman" w:hAnsi="Times New Roman" w:eastAsia="宋体"/>
          <w:sz w:val="24"/>
          <w:szCs w:val="30"/>
          <w:highlight w:val="none"/>
        </w:rPr>
      </w:pPr>
      <w:r>
        <w:rPr>
          <w:rFonts w:hint="default" w:ascii="Times New Roman" w:hAnsi="Times New Roman" w:eastAsia="宋体" w:cs="Times New Roman"/>
          <w:b/>
          <w:i w:val="0"/>
          <w:kern w:val="28"/>
          <w:sz w:val="21"/>
          <w:szCs w:val="21"/>
          <w:lang w:val="en-US" w:eastAsia="zh-CN" w:bidi="ar-SA"/>
        </w:rPr>
        <w:t>9.2</w:t>
      </w:r>
      <w:r>
        <w:rPr>
          <w:rFonts w:ascii="Times New Roman" w:hAnsi="Times New Roman" w:eastAsia="宋体"/>
          <w:sz w:val="24"/>
          <w:szCs w:val="30"/>
          <w:highlight w:val="none"/>
        </w:rPr>
        <w:t>评标办法前附表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6A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36993FEC">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421B8915">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40C0254E">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3B09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CF3C1E8">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2F1198D5">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A12990">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39061EF">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420735DF">
            <w:pPr>
              <w:snapToGrid w:val="0"/>
              <w:spacing w:line="320" w:lineRule="exact"/>
              <w:ind w:left="273" w:leftChars="97" w:hanging="1"/>
              <w:jc w:val="left"/>
              <w:rPr>
                <w:rFonts w:hint="eastAsia" w:ascii="宋体" w:hAnsi="宋体"/>
                <w:sz w:val="21"/>
                <w:szCs w:val="21"/>
                <w:highlight w:val="none"/>
              </w:rPr>
            </w:pPr>
            <w:r>
              <w:rPr>
                <w:rFonts w:ascii="宋体" w:hAnsi="宋体"/>
                <w:spacing w:val="-4"/>
                <w:sz w:val="21"/>
                <w:szCs w:val="21"/>
                <w:highlight w:val="none"/>
              </w:rPr>
              <w:t>（2）</w:t>
            </w:r>
            <w:r>
              <w:rPr>
                <w:rFonts w:hint="eastAsia" w:ascii="宋体" w:hAnsi="宋体"/>
                <w:spacing w:val="-4"/>
                <w:sz w:val="21"/>
                <w:szCs w:val="21"/>
                <w:highlight w:val="none"/>
                <w:lang w:val="en-US" w:eastAsia="zh-CN"/>
              </w:rPr>
              <w:t>商务</w:t>
            </w:r>
            <w:r>
              <w:rPr>
                <w:rFonts w:ascii="宋体" w:hAnsi="宋体"/>
                <w:spacing w:val="-4"/>
                <w:sz w:val="21"/>
                <w:szCs w:val="21"/>
                <w:highlight w:val="none"/>
              </w:rPr>
              <w:t>得分较高的投标人优先；</w:t>
            </w:r>
          </w:p>
        </w:tc>
      </w:tr>
      <w:tr w14:paraId="7F3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4D9161C6">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580280D4">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72899D9E">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6A7517FC">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5D16886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C4ED3C9">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hint="eastAsia" w:ascii="宋体" w:hAnsi="宋体"/>
                <w:bCs/>
                <w:sz w:val="21"/>
                <w:szCs w:val="21"/>
                <w:highlight w:val="none"/>
                <w:lang w:val="en-US" w:eastAsia="zh-CN"/>
              </w:rPr>
              <w:t>标段号、</w:t>
            </w:r>
            <w:r>
              <w:rPr>
                <w:rFonts w:ascii="宋体" w:hAnsi="宋体"/>
                <w:bCs/>
                <w:sz w:val="21"/>
                <w:szCs w:val="21"/>
                <w:highlight w:val="none"/>
              </w:rPr>
              <w:t>补遗书编号（如有）、服务期限</w:t>
            </w:r>
            <w:r>
              <w:rPr>
                <w:rFonts w:hint="eastAsia" w:ascii="宋体" w:hAnsi="宋体"/>
                <w:bCs/>
                <w:sz w:val="21"/>
                <w:szCs w:val="21"/>
                <w:highlight w:val="none"/>
                <w:lang w:val="en-US" w:eastAsia="zh-CN"/>
              </w:rPr>
              <w:t>等内容</w:t>
            </w:r>
            <w:r>
              <w:rPr>
                <w:rFonts w:ascii="宋体" w:hAnsi="宋体"/>
                <w:bCs/>
                <w:sz w:val="21"/>
                <w:szCs w:val="21"/>
                <w:highlight w:val="none"/>
              </w:rPr>
              <w:t>；</w:t>
            </w:r>
          </w:p>
          <w:p w14:paraId="6493B3D2">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469BEE6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65E4183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641186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3DDE00D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411B79F2">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7A11655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4614D89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58B2E28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CF8122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147021F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6959EAD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w:t>
            </w:r>
            <w:r>
              <w:rPr>
                <w:rFonts w:hint="eastAsia" w:ascii="宋体" w:hAnsi="宋体"/>
                <w:sz w:val="21"/>
                <w:szCs w:val="21"/>
                <w:highlight w:val="none"/>
                <w:lang w:val="en-US" w:eastAsia="zh-CN"/>
              </w:rPr>
              <w:t>投标人</w:t>
            </w:r>
            <w:r>
              <w:rPr>
                <w:rFonts w:hint="eastAsia" w:ascii="宋体" w:hAnsi="宋体"/>
                <w:sz w:val="21"/>
                <w:szCs w:val="21"/>
                <w:highlight w:val="none"/>
              </w:rPr>
              <w:t>递交的投标文件与所投标段一致。</w:t>
            </w:r>
          </w:p>
          <w:p w14:paraId="7AFDD24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13</w:t>
            </w:r>
            <w:r>
              <w:rPr>
                <w:rFonts w:ascii="宋体" w:hAnsi="宋体"/>
                <w:sz w:val="21"/>
                <w:szCs w:val="21"/>
                <w:highlight w:val="none"/>
              </w:rPr>
              <w:t>）权利义务符合招标文件规定：</w:t>
            </w:r>
          </w:p>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4D55238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7A32670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49E7859D">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5A6C26A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hint="eastAsia" w:ascii="宋体" w:hAnsi="宋体"/>
                <w:bCs/>
                <w:sz w:val="21"/>
                <w:szCs w:val="21"/>
                <w:highlight w:val="none"/>
                <w:lang w:val="en-US" w:eastAsia="zh-CN"/>
              </w:rPr>
              <w:t>标段号、</w:t>
            </w:r>
            <w:r>
              <w:rPr>
                <w:rFonts w:ascii="宋体" w:hAnsi="宋体"/>
                <w:bCs/>
                <w:sz w:val="21"/>
                <w:szCs w:val="21"/>
                <w:highlight w:val="none"/>
              </w:rPr>
              <w:t>补遗书编号（如有）、投标</w:t>
            </w:r>
            <w:r>
              <w:rPr>
                <w:rFonts w:hint="eastAsia" w:ascii="宋体" w:hAnsi="宋体"/>
                <w:bCs/>
                <w:sz w:val="21"/>
                <w:szCs w:val="21"/>
                <w:highlight w:val="none"/>
              </w:rPr>
              <w:t>报</w:t>
            </w:r>
            <w:r>
              <w:rPr>
                <w:rFonts w:ascii="宋体" w:hAnsi="宋体"/>
                <w:bCs/>
                <w:sz w:val="21"/>
                <w:szCs w:val="21"/>
                <w:highlight w:val="none"/>
              </w:rPr>
              <w:t>价；</w:t>
            </w:r>
          </w:p>
          <w:p w14:paraId="78670172">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b．投标文件组成齐全完整，内容均按规定填写。</w:t>
            </w:r>
          </w:p>
          <w:p w14:paraId="50E40637">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4C67B2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（3）投标报价未超过招标文件设定的最高投标限价。</w:t>
            </w:r>
          </w:p>
          <w:p w14:paraId="7B0DC2F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（4）投标报价能够确定具体数值。</w:t>
            </w:r>
          </w:p>
          <w:p w14:paraId="42D0956F">
            <w:pPr>
              <w:tabs>
                <w:tab w:val="left" w:pos="3060"/>
              </w:tabs>
              <w:snapToGrid w:val="0"/>
              <w:spacing w:line="320" w:lineRule="exact"/>
              <w:ind w:firstLine="205" w:firstLineChars="98"/>
              <w:rPr>
                <w:highlight w:val="none"/>
              </w:rPr>
            </w:pPr>
            <w:r>
              <w:rPr>
                <w:rFonts w:ascii="宋体" w:hAnsi="宋体"/>
                <w:bCs/>
                <w:sz w:val="21"/>
                <w:szCs w:val="21"/>
                <w:highlight w:val="none"/>
              </w:rPr>
              <w:t>（5）同一投标人未提交两个以上不同的投标报价。</w:t>
            </w:r>
          </w:p>
        </w:tc>
      </w:tr>
      <w:tr w14:paraId="0E5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DC5B381">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90B5432">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004C9C03">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6EE49A71">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（2）投标人的资质等级符合招标文件规定；</w:t>
            </w:r>
          </w:p>
          <w:p w14:paraId="66EA94A2">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3</w:t>
            </w:r>
            <w:r>
              <w:rPr>
                <w:rFonts w:ascii="宋体" w:hAnsi="宋体"/>
                <w:sz w:val="21"/>
                <w:szCs w:val="21"/>
                <w:highlight w:val="none"/>
              </w:rPr>
              <w:t>）投标人的信誉符合招标文件规定；</w:t>
            </w:r>
          </w:p>
          <w:p w14:paraId="5C7040DB">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4</w:t>
            </w:r>
            <w:r>
              <w:rPr>
                <w:rFonts w:ascii="宋体" w:hAnsi="宋体"/>
                <w:sz w:val="21"/>
                <w:szCs w:val="21"/>
                <w:highlight w:val="none"/>
              </w:rPr>
              <w:t>）投标人不存在第二章“投标人须知”第1.4.3项或第1.4.4项规定的任何一种情形。</w:t>
            </w:r>
          </w:p>
        </w:tc>
      </w:tr>
      <w:tr w14:paraId="0E6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F31AC34">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216DB21E">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03D76ED2">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69E42000">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0A031E40">
            <w:pPr>
              <w:autoSpaceDE w:val="0"/>
              <w:autoSpaceDN w:val="0"/>
              <w:adjustRightInd w:val="0"/>
              <w:snapToGrid w:val="0"/>
              <w:spacing w:line="320" w:lineRule="exact"/>
              <w:ind w:left="107"/>
              <w:jc w:val="left"/>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商务部分：30</w:t>
            </w:r>
            <w:r>
              <w:rPr>
                <w:rFonts w:ascii="宋体" w:hAnsi="宋体"/>
                <w:kern w:val="0"/>
                <w:sz w:val="21"/>
                <w:szCs w:val="21"/>
                <w:highlight w:val="none"/>
              </w:rPr>
              <w:t>分</w:t>
            </w:r>
          </w:p>
          <w:p w14:paraId="45FAE09D">
            <w:pPr>
              <w:autoSpaceDE w:val="0"/>
              <w:autoSpaceDN w:val="0"/>
              <w:adjustRightInd w:val="0"/>
              <w:snapToGrid w:val="0"/>
              <w:spacing w:line="320" w:lineRule="exact"/>
              <w:ind w:left="107"/>
              <w:jc w:val="left"/>
              <w:rPr>
                <w:rFonts w:ascii="宋体" w:hAnsi="宋体"/>
                <w:kern w:val="0"/>
                <w:sz w:val="21"/>
                <w:szCs w:val="21"/>
                <w:highlight w:val="none"/>
              </w:rPr>
            </w:pPr>
            <w:r>
              <w:rPr>
                <w:rFonts w:hint="eastAsia" w:ascii="宋体" w:hAnsi="宋体"/>
                <w:kern w:val="0"/>
                <w:sz w:val="21"/>
                <w:szCs w:val="21"/>
                <w:highlight w:val="none"/>
                <w:lang w:eastAsia="zh-CN"/>
              </w:rPr>
              <w:t>服务方案</w:t>
            </w:r>
            <w:r>
              <w:rPr>
                <w:rFonts w:ascii="宋体" w:hAnsi="宋体"/>
                <w:kern w:val="0"/>
                <w:sz w:val="21"/>
                <w:szCs w:val="21"/>
                <w:highlight w:val="none"/>
              </w:rPr>
              <w:t>：</w:t>
            </w:r>
            <w:r>
              <w:rPr>
                <w:rFonts w:hint="eastAsia" w:ascii="宋体" w:hAnsi="宋体"/>
                <w:kern w:val="0"/>
                <w:sz w:val="21"/>
                <w:szCs w:val="21"/>
                <w:highlight w:val="none"/>
                <w:lang w:val="en-US" w:eastAsia="zh-CN"/>
              </w:rPr>
              <w:t>40</w:t>
            </w:r>
            <w:r>
              <w:rPr>
                <w:rFonts w:ascii="宋体" w:hAnsi="宋体"/>
                <w:kern w:val="0"/>
                <w:sz w:val="21"/>
                <w:szCs w:val="21"/>
                <w:highlight w:val="none"/>
              </w:rPr>
              <w:t>分</w:t>
            </w:r>
          </w:p>
          <w:p w14:paraId="7E5D2264">
            <w:pPr>
              <w:autoSpaceDE w:val="0"/>
              <w:autoSpaceDN w:val="0"/>
              <w:adjustRightInd w:val="0"/>
              <w:snapToGrid w:val="0"/>
              <w:spacing w:line="320" w:lineRule="exact"/>
              <w:ind w:left="107"/>
              <w:jc w:val="left"/>
              <w:rPr>
                <w:rFonts w:ascii="宋体" w:hAnsi="宋体"/>
                <w:kern w:val="0"/>
                <w:sz w:val="21"/>
                <w:szCs w:val="21"/>
                <w:highlight w:val="none"/>
              </w:rPr>
            </w:pPr>
          </w:p>
          <w:p w14:paraId="2959273A">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6B0FC21">
            <w:pPr>
              <w:autoSpaceDE w:val="0"/>
              <w:autoSpaceDN w:val="0"/>
              <w:adjustRightInd w:val="0"/>
              <w:snapToGrid w:val="0"/>
              <w:spacing w:line="320" w:lineRule="exact"/>
              <w:ind w:left="107"/>
              <w:jc w:val="left"/>
              <w:rPr>
                <w:rFonts w:ascii="宋体" w:hAnsi="宋体"/>
                <w:sz w:val="21"/>
                <w:szCs w:val="21"/>
                <w:highlight w:val="none"/>
              </w:rPr>
            </w:pPr>
            <w:r>
              <w:rPr>
                <w:rFonts w:ascii="宋体" w:hAnsi="宋体"/>
                <w:sz w:val="21"/>
                <w:szCs w:val="21"/>
                <w:highlight w:val="none"/>
              </w:rPr>
              <w:t>评 标 价：</w:t>
            </w:r>
            <w:r>
              <w:rPr>
                <w:rFonts w:hint="eastAsia" w:ascii="宋体" w:hAnsi="宋体"/>
                <w:sz w:val="21"/>
                <w:szCs w:val="21"/>
                <w:highlight w:val="none"/>
              </w:rPr>
              <w:t>30</w:t>
            </w:r>
            <w:r>
              <w:rPr>
                <w:rFonts w:ascii="宋体" w:hAnsi="宋体"/>
                <w:sz w:val="21"/>
                <w:szCs w:val="21"/>
                <w:highlight w:val="none"/>
              </w:rPr>
              <w:t>分</w:t>
            </w:r>
          </w:p>
        </w:tc>
      </w:tr>
      <w:tr w14:paraId="6CC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FAB0A0">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76FFB14E">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516F9A12">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2909B903">
            <w:pPr>
              <w:snapToGrid w:val="0"/>
              <w:spacing w:line="320" w:lineRule="exact"/>
              <w:ind w:right="113"/>
              <w:rPr>
                <w:rFonts w:ascii="宋体" w:hAnsi="宋体"/>
                <w:sz w:val="21"/>
                <w:szCs w:val="21"/>
                <w:highlight w:val="none"/>
              </w:rPr>
            </w:pPr>
            <w:r>
              <w:rPr>
                <w:rFonts w:ascii="宋体" w:hAnsi="宋体"/>
                <w:sz w:val="21"/>
                <w:szCs w:val="21"/>
                <w:highlight w:val="none"/>
              </w:rPr>
              <w:t>在开标现场，招标人将当场计算并宣布评标基准价。</w:t>
            </w:r>
          </w:p>
          <w:p w14:paraId="3F752F18">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（1）评标价的确定：</w:t>
            </w:r>
          </w:p>
          <w:p w14:paraId="1988AC07">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评标价=投标函报价</w:t>
            </w:r>
          </w:p>
          <w:p w14:paraId="04D640E1">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（2）评标价平均值的计算：</w:t>
            </w:r>
          </w:p>
          <w:p w14:paraId="6F3EA0EF">
            <w:pPr>
              <w:snapToGrid w:val="0"/>
              <w:spacing w:line="320" w:lineRule="exact"/>
              <w:ind w:right="113" w:firstLine="426" w:firstLineChars="203"/>
              <w:rPr>
                <w:rFonts w:ascii="宋体" w:hAnsi="宋体"/>
                <w:sz w:val="21"/>
                <w:szCs w:val="21"/>
                <w:highlight w:val="none"/>
              </w:rPr>
            </w:pPr>
            <w:r>
              <w:rPr>
                <w:rFonts w:hint="eastAsia" w:ascii="宋体" w:hAnsi="宋体" w:cs="宋体"/>
                <w:color w:val="auto"/>
                <w:kern w:val="2"/>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r>
              <w:rPr>
                <w:rFonts w:ascii="宋体" w:hAnsi="宋体"/>
                <w:sz w:val="21"/>
                <w:szCs w:val="21"/>
                <w:highlight w:val="none"/>
              </w:rPr>
              <w:t>值。</w:t>
            </w:r>
          </w:p>
          <w:p w14:paraId="139E484A">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（3）评标基准价的确定：</w:t>
            </w:r>
          </w:p>
          <w:p w14:paraId="43625912">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将评标价平均值直接作为评标基准价（评标基准价保留小数点后两位，小数点后第三位四舍五入）。</w:t>
            </w:r>
          </w:p>
          <w:p w14:paraId="450768A5">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B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6B2A4A7D">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5983CB83">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13BE52EC">
            <w:pPr>
              <w:snapToGrid w:val="0"/>
              <w:spacing w:line="320" w:lineRule="exact"/>
              <w:ind w:right="113"/>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076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3" w:hRule="atLeast"/>
          <w:jc w:val="center"/>
        </w:trPr>
        <w:tc>
          <w:tcPr>
            <w:tcW w:w="959" w:type="dxa"/>
            <w:noWrap w:val="0"/>
            <w:vAlign w:val="center"/>
          </w:tcPr>
          <w:p w14:paraId="42B9260B">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1C297FB4">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A0E12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02FE2D2">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1BB6AE31">
            <w:pPr>
              <w:adjustRightInd w:val="0"/>
              <w:snapToGrid w:val="0"/>
              <w:spacing w:line="320" w:lineRule="exact"/>
              <w:ind w:firstLine="210" w:firstLineChars="100"/>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bl>
    <w:p w14:paraId="672815DA">
      <w:pPr>
        <w:jc w:val="right"/>
        <w:rPr>
          <w:sz w:val="24"/>
          <w:highlight w:val="none"/>
        </w:rPr>
      </w:pPr>
      <w:r>
        <w:rPr>
          <w:sz w:val="24"/>
          <w:highlight w:val="none"/>
        </w:rPr>
        <w:br w:type="page"/>
      </w:r>
      <w:r>
        <w:rPr>
          <w:sz w:val="24"/>
          <w:highlight w:val="none"/>
        </w:rPr>
        <w:t>续上表</w:t>
      </w:r>
    </w:p>
    <w:tbl>
      <w:tblPr>
        <w:tblStyle w:val="14"/>
        <w:tblW w:w="92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4"/>
        <w:gridCol w:w="675"/>
        <w:gridCol w:w="1089"/>
        <w:gridCol w:w="430"/>
        <w:gridCol w:w="6380"/>
      </w:tblGrid>
      <w:tr w14:paraId="7E7F3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898" w:type="dxa"/>
            <w:gridSpan w:val="4"/>
            <w:tcBorders>
              <w:top w:val="single" w:color="000000" w:sz="4" w:space="0"/>
              <w:left w:val="single" w:color="000000" w:sz="4" w:space="0"/>
              <w:bottom w:val="single" w:color="000000" w:sz="4" w:space="0"/>
              <w:right w:val="single" w:color="000000" w:sz="4" w:space="0"/>
            </w:tcBorders>
            <w:noWrap w:val="0"/>
            <w:vAlign w:val="center"/>
          </w:tcPr>
          <w:p w14:paraId="5C1FEEC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评审因素与权重分值</w:t>
            </w:r>
          </w:p>
        </w:tc>
        <w:tc>
          <w:tcPr>
            <w:tcW w:w="63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DB6CFA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评分标准</w:t>
            </w:r>
          </w:p>
        </w:tc>
      </w:tr>
      <w:tr w14:paraId="47D0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704" w:type="dxa"/>
            <w:tcBorders>
              <w:top w:val="single" w:color="000000" w:sz="4" w:space="0"/>
              <w:left w:val="single" w:color="000000" w:sz="4" w:space="0"/>
              <w:right w:val="single" w:color="000000" w:sz="4" w:space="0"/>
            </w:tcBorders>
            <w:noWrap w:val="0"/>
            <w:vAlign w:val="center"/>
          </w:tcPr>
          <w:p w14:paraId="3374DB3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评分</w:t>
            </w:r>
          </w:p>
          <w:p w14:paraId="3889F23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因素</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2B9E4E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评分因素权重分值</w:t>
            </w:r>
          </w:p>
        </w:tc>
        <w:tc>
          <w:tcPr>
            <w:tcW w:w="1089" w:type="dxa"/>
            <w:tcBorders>
              <w:top w:val="single" w:color="000000" w:sz="4" w:space="0"/>
              <w:left w:val="single" w:color="000000" w:sz="4" w:space="0"/>
              <w:bottom w:val="single" w:color="000000" w:sz="4" w:space="0"/>
              <w:right w:val="single" w:color="000000" w:sz="4" w:space="0"/>
            </w:tcBorders>
            <w:noWrap w:val="0"/>
            <w:vAlign w:val="center"/>
          </w:tcPr>
          <w:p w14:paraId="5558F6A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各评分因素细分项</w:t>
            </w:r>
          </w:p>
        </w:tc>
        <w:tc>
          <w:tcPr>
            <w:tcW w:w="430" w:type="dxa"/>
            <w:tcBorders>
              <w:top w:val="single" w:color="000000" w:sz="4" w:space="0"/>
              <w:left w:val="single" w:color="000000" w:sz="4" w:space="0"/>
              <w:bottom w:val="single" w:color="000000" w:sz="4" w:space="0"/>
              <w:right w:val="single" w:color="000000" w:sz="4" w:space="0"/>
            </w:tcBorders>
            <w:noWrap w:val="0"/>
            <w:vAlign w:val="center"/>
          </w:tcPr>
          <w:p w14:paraId="053F84D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分值</w:t>
            </w:r>
          </w:p>
        </w:tc>
        <w:tc>
          <w:tcPr>
            <w:tcW w:w="63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E7986">
            <w:pPr>
              <w:jc w:val="center"/>
              <w:rPr>
                <w:rFonts w:hint="eastAsia" w:ascii="宋体" w:hAnsi="宋体" w:eastAsia="宋体" w:cs="宋体"/>
                <w:b/>
                <w:bCs/>
                <w:i w:val="0"/>
                <w:iCs w:val="0"/>
                <w:color w:val="auto"/>
                <w:sz w:val="21"/>
                <w:szCs w:val="21"/>
                <w:highlight w:val="none"/>
                <w:u w:val="none"/>
              </w:rPr>
            </w:pPr>
          </w:p>
        </w:tc>
      </w:tr>
      <w:tr w14:paraId="2E00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1"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3A09C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商务部分</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B4C0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0分</w:t>
            </w: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751C1D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全国范围内承销金额</w:t>
            </w:r>
          </w:p>
          <w:p w14:paraId="50D754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（1标段：银行类）</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17960F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1B26B6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超短期融资券）以及定向工具承销累计金额：承销金额≥</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180</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150</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180</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150</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1BE4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559FE9">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BA05FD">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735E2">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915F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1DB0E8F">
            <w:pPr>
              <w:keepNext w:val="0"/>
              <w:keepLines w:val="0"/>
              <w:widowControl/>
              <w:suppressLineNumbers w:val="0"/>
              <w:jc w:val="left"/>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57CE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43E40">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C8FF3">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CD810">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9C1717">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0677CE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2D5E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8150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41F282">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0D5808">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7C482">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D626D4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222F4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47EA4">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2023A">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A65B3">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DDC96">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4EEBC3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30D6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4"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EF990">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2AE4C0">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81A20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ED77C">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C40457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（2）筛选条件：选中“任意区间”，起止时间选择“2024年1月1日至2025年6月30日”，机构类型选择“</w:t>
            </w:r>
            <w:r>
              <w:rPr>
                <w:rFonts w:hint="eastAsia" w:ascii="宋体" w:hAnsi="宋体" w:cs="宋体"/>
                <w:i w:val="0"/>
                <w:iCs w:val="0"/>
                <w:color w:val="auto"/>
                <w:kern w:val="0"/>
                <w:sz w:val="21"/>
                <w:szCs w:val="21"/>
                <w:highlight w:val="none"/>
                <w:u w:val="none"/>
                <w:lang w:val="en-US" w:eastAsia="zh-CN" w:bidi="ar"/>
              </w:rPr>
              <w:t>银行</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超短期融资券）和定向工具”，“企业性质”选择“地方国有企业”“地域分类”选择“全国”，主体口径选择“穿透信用主体”，勾选“联主实际比例”，以“合并母子公司”数据为准。</w:t>
            </w:r>
          </w:p>
        </w:tc>
      </w:tr>
      <w:tr w14:paraId="6A8D7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FBA50">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CE426">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ED2A0">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7013F9">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649C53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4211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23086">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DC5105">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auto" w:sz="4" w:space="0"/>
              <w:right w:val="single" w:color="000000" w:sz="4" w:space="0"/>
            </w:tcBorders>
            <w:noWrap w:val="0"/>
            <w:vAlign w:val="center"/>
          </w:tcPr>
          <w:p w14:paraId="17A7E3F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auto" w:sz="4" w:space="0"/>
              <w:right w:val="single" w:color="000000" w:sz="4" w:space="0"/>
            </w:tcBorders>
            <w:noWrap w:val="0"/>
            <w:vAlign w:val="center"/>
          </w:tcPr>
          <w:p w14:paraId="1189AAD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56A5A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2DE1D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C46A1D">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994F7">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right w:val="single" w:color="000000" w:sz="4" w:space="0"/>
            </w:tcBorders>
            <w:noWrap w:val="0"/>
            <w:vAlign w:val="center"/>
          </w:tcPr>
          <w:p w14:paraId="21A863B5">
            <w:pPr>
              <w:pStyle w:val="31"/>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全国范围内承销金额</w:t>
            </w:r>
          </w:p>
          <w:p w14:paraId="77AD49A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（2标段：券商类）</w:t>
            </w:r>
          </w:p>
        </w:tc>
        <w:tc>
          <w:tcPr>
            <w:tcW w:w="430" w:type="dxa"/>
            <w:vMerge w:val="restart"/>
            <w:tcBorders>
              <w:top w:val="single" w:color="000000" w:sz="4" w:space="0"/>
              <w:left w:val="single" w:color="000000" w:sz="4" w:space="0"/>
              <w:right w:val="single" w:color="000000" w:sz="4" w:space="0"/>
            </w:tcBorders>
            <w:noWrap w:val="0"/>
            <w:vAlign w:val="center"/>
          </w:tcPr>
          <w:p w14:paraId="62FB3F7E">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82B0809">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超短期融资券）以及定向工具承销累计金额：承销金额≥</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0607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5C90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373E03">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352A9B70">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5CFE9B0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5994A42">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2217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B84A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767DA">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7EE613C">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6C5291A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BC3148C">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36AA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886F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7AD88">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A01B5D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5EC1B282">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53A71824">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42B6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FF55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D44C5">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768511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6C61C066">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00B9600">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0BF3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4B115">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93103">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C2385A8">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24E061F7">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4E77DB1">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（2）筛选条件：选中“任意区间”，起止时间选择“2024年1月1日至2025年6月30日”，机构类型选择“</w:t>
            </w:r>
            <w:r>
              <w:rPr>
                <w:rFonts w:hint="eastAsia" w:ascii="宋体" w:hAnsi="宋体" w:cs="宋体"/>
                <w:i w:val="0"/>
                <w:iCs w:val="0"/>
                <w:color w:val="auto"/>
                <w:kern w:val="0"/>
                <w:sz w:val="21"/>
                <w:szCs w:val="21"/>
                <w:highlight w:val="none"/>
                <w:u w:val="none"/>
                <w:lang w:val="en-US" w:eastAsia="zh-CN" w:bidi="ar"/>
              </w:rPr>
              <w:t>证券</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超短期融资券）和定向工具”，“企业性质”选择“地方国有企业”“地域分类”选择“全国”，主体口径选择“穿透信用主体”，勾选“联主实际比例”，以“合并母子公司”数据为准。</w:t>
            </w:r>
          </w:p>
        </w:tc>
      </w:tr>
      <w:tr w14:paraId="730C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B4B74">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577A6">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719A58B">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050ACC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0913506">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7986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1D83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B07A1">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bottom w:val="single" w:color="auto" w:sz="4" w:space="0"/>
              <w:right w:val="single" w:color="000000" w:sz="4" w:space="0"/>
            </w:tcBorders>
            <w:noWrap w:val="0"/>
            <w:vAlign w:val="center"/>
          </w:tcPr>
          <w:p w14:paraId="057FC88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bottom w:val="single" w:color="auto" w:sz="4" w:space="0"/>
              <w:right w:val="single" w:color="000000" w:sz="4" w:space="0"/>
            </w:tcBorders>
            <w:noWrap w:val="0"/>
            <w:vAlign w:val="center"/>
          </w:tcPr>
          <w:p w14:paraId="37F5A8D4">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213170B">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3509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817F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A74B1">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auto" w:sz="4" w:space="0"/>
              <w:left w:val="single" w:color="000000" w:sz="4" w:space="0"/>
              <w:right w:val="single" w:color="000000" w:sz="4" w:space="0"/>
            </w:tcBorders>
            <w:noWrap w:val="0"/>
            <w:vAlign w:val="center"/>
          </w:tcPr>
          <w:p w14:paraId="21ED62DE">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全国范围内承销只数</w:t>
            </w:r>
          </w:p>
          <w:p w14:paraId="307E711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（1标段：银行类）</w:t>
            </w:r>
          </w:p>
        </w:tc>
        <w:tc>
          <w:tcPr>
            <w:tcW w:w="430" w:type="dxa"/>
            <w:vMerge w:val="restart"/>
            <w:tcBorders>
              <w:top w:val="single" w:color="auto" w:sz="4" w:space="0"/>
              <w:left w:val="single" w:color="000000" w:sz="4" w:space="0"/>
              <w:bottom w:val="single" w:color="000000" w:sz="4" w:space="0"/>
              <w:right w:val="single" w:color="000000" w:sz="4" w:space="0"/>
            </w:tcBorders>
            <w:noWrap w:val="0"/>
            <w:vAlign w:val="center"/>
          </w:tcPr>
          <w:p w14:paraId="5B6772C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5F53137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超短期融资券）以及定向工具承销累计只数：承销只数≥</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只≤承销只数＜</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300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34A7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9FAF9">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EA8D42">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15FE1">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3D2E4">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BA29F8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2BA7A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84163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3BB91">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F4C26">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A0096">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B3147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3D75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0DE92">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AF4FE">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B6E6CE">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99BA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8DD636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0E88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49BA5">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9438B">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FE6E0">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2DC88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FE4E68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1E1B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7"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9789D">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3E597">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542A73">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5084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52C99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年1月1日至202</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月30日”，机构类型选择“</w:t>
            </w:r>
            <w:r>
              <w:rPr>
                <w:rFonts w:hint="eastAsia" w:ascii="宋体" w:hAnsi="宋体" w:cs="宋体"/>
                <w:i w:val="0"/>
                <w:iCs w:val="0"/>
                <w:color w:val="auto"/>
                <w:kern w:val="0"/>
                <w:sz w:val="21"/>
                <w:szCs w:val="21"/>
                <w:highlight w:val="none"/>
                <w:u w:val="none"/>
                <w:lang w:val="en-US" w:eastAsia="zh-CN" w:bidi="ar"/>
              </w:rPr>
              <w:t>银行</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和定向工具”，“企业性质”选择“地方国有企业”“地域分类”选择“全国”，主体口径选择“穿透信用主体”，勾选“联主实际比例”，以“合并母子公司”数据为准。</w:t>
            </w:r>
          </w:p>
        </w:tc>
      </w:tr>
      <w:tr w14:paraId="3D0E8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E2569">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9B310">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DAB4D5">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8F540">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EC79AF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745A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E3F25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D2E9E">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91E4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57B59">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48EE3F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2405F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4197C">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7843D">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right w:val="single" w:color="000000" w:sz="4" w:space="0"/>
            </w:tcBorders>
            <w:noWrap w:val="0"/>
            <w:vAlign w:val="center"/>
          </w:tcPr>
          <w:p w14:paraId="345A9202">
            <w:pPr>
              <w:pStyle w:val="31"/>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全国范围内承销金只数</w:t>
            </w:r>
          </w:p>
          <w:p w14:paraId="1122662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（2标段：券商类）</w:t>
            </w:r>
          </w:p>
        </w:tc>
        <w:tc>
          <w:tcPr>
            <w:tcW w:w="430" w:type="dxa"/>
            <w:vMerge w:val="restart"/>
            <w:tcBorders>
              <w:top w:val="single" w:color="000000" w:sz="4" w:space="0"/>
              <w:left w:val="single" w:color="000000" w:sz="4" w:space="0"/>
              <w:right w:val="single" w:color="000000" w:sz="4" w:space="0"/>
            </w:tcBorders>
            <w:noWrap w:val="0"/>
            <w:vAlign w:val="center"/>
          </w:tcPr>
          <w:p w14:paraId="6D02EF55">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26DE059">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超短期融资券）以及定向工具承销累计只数：承销只数≥</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18</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分，150只≤承销只数＜</w:t>
            </w:r>
            <w:r>
              <w:rPr>
                <w:rFonts w:hint="eastAsia" w:ascii="宋体" w:hAnsi="宋体" w:cs="宋体"/>
                <w:i w:val="0"/>
                <w:iCs w:val="0"/>
                <w:color w:val="auto"/>
                <w:kern w:val="0"/>
                <w:sz w:val="21"/>
                <w:szCs w:val="21"/>
                <w:highlight w:val="none"/>
                <w:u w:val="none"/>
                <w:lang w:val="en-US" w:eastAsia="zh-CN" w:bidi="ar"/>
              </w:rPr>
              <w:t>18</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分，1</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50只得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120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63E8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922E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C6197">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F870B60">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0F94C1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A4D5BAC">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4531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FE7E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1A30B">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06C7A15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756280A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8BE268F">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49B2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E874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5FBD2">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26277452">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02EB766F">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BD1A965">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0FC3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025E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F5984">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4173C81">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A545A3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CA2A35E">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45FC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D5EB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0CD42">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755522D6">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20126FB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B4AD9EE">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年1月1日至202</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月30日”，机构类型选择“</w:t>
            </w:r>
            <w:r>
              <w:rPr>
                <w:rFonts w:hint="eastAsia" w:ascii="宋体" w:hAnsi="宋体" w:cs="宋体"/>
                <w:i w:val="0"/>
                <w:iCs w:val="0"/>
                <w:color w:val="auto"/>
                <w:kern w:val="0"/>
                <w:sz w:val="21"/>
                <w:szCs w:val="21"/>
                <w:highlight w:val="none"/>
                <w:u w:val="none"/>
                <w:lang w:val="en-US" w:eastAsia="zh-CN" w:bidi="ar"/>
              </w:rPr>
              <w:t>证券</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和定向工具”，“企业性质”选择“地方国有企业”“地域分类”选择“全国”，主体口径选择“穿透信用主体”，勾选“联主实际比例”，以“合并母子公司”数据为准。</w:t>
            </w:r>
          </w:p>
        </w:tc>
      </w:tr>
      <w:tr w14:paraId="26B9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14092">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62A3A">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4FBC884">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389DA2EF">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5BC930F">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43F9D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4C02A">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18684">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bottom w:val="single" w:color="000000" w:sz="4" w:space="0"/>
              <w:right w:val="single" w:color="000000" w:sz="4" w:space="0"/>
            </w:tcBorders>
            <w:noWrap w:val="0"/>
            <w:vAlign w:val="center"/>
          </w:tcPr>
          <w:p w14:paraId="57142CC9">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bottom w:val="single" w:color="000000" w:sz="4" w:space="0"/>
              <w:right w:val="single" w:color="000000" w:sz="4" w:space="0"/>
            </w:tcBorders>
            <w:noWrap w:val="0"/>
            <w:vAlign w:val="center"/>
          </w:tcPr>
          <w:p w14:paraId="029EC24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4B4A806">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1594C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44FE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64575">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42D63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被协会自律处分情况</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F36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80E140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被中国银行间市场交易商协会自律处分情况：没有被处罚记录得10分，有被处罚记录的扣5分。</w:t>
            </w:r>
          </w:p>
        </w:tc>
      </w:tr>
      <w:tr w14:paraId="6EA6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2009B">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99A1D">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4DCAE">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142F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A1A0B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注：需附中国银行间市场交易商协会官网查询结果截图</w:t>
            </w:r>
          </w:p>
        </w:tc>
      </w:tr>
      <w:tr w14:paraId="047C9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0AE2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902BD">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C62F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291D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50B81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02AA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1BFAA">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6B49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5CA1C">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5CD7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F304A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2、数据请通过中国银行间市场交易商协会官网查询，查询路径如下：</w:t>
            </w:r>
          </w:p>
        </w:tc>
      </w:tr>
      <w:tr w14:paraId="06F7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7FBF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230B5">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8DA1E">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6F50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55C807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（1）进入中国银行间市场交易商协会官网-选择自律-自律处分概览；</w:t>
            </w:r>
          </w:p>
        </w:tc>
      </w:tr>
      <w:tr w14:paraId="0D11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1DF5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9E4B2">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A9DA8">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ECE29">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3F07B7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（2）查询条件：选择“处分措施为全部”，起止时间选择“2024年1月1日至2025年6月30日”。</w:t>
            </w:r>
          </w:p>
        </w:tc>
      </w:tr>
      <w:tr w14:paraId="14C65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A2506">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CE63F">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B20D9">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AC22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86AB6E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（3）输入承销商机构名称，点击“查询”，可看到被处分情况。</w:t>
            </w:r>
          </w:p>
        </w:tc>
      </w:tr>
      <w:tr w14:paraId="0658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E5557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服务方案部分</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D2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40分</w:t>
            </w: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A8706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承销服务方案</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B05B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0C78F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根据本项目特点和发行要求，制定项目方案，包括但不限于政策环境分析、可行性分析、时间安排、相关保障服务（包括不限于余额包销和自主投资能力等）等进行综合评价。</w:t>
            </w:r>
          </w:p>
        </w:tc>
      </w:tr>
      <w:tr w14:paraId="342A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2419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EA4BB">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C8199">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DB9C3">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B3E6F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第一档方案详细完整、针对性强，可行性高、保障措施完备的，得8-10分；</w:t>
            </w:r>
          </w:p>
        </w:tc>
      </w:tr>
      <w:tr w14:paraId="10BF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4330C">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C8239">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58E8B">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82A33">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8B09E7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第二档方案基本完整、针对性较强，可行性较高、保障措施较好的，得6-</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p>
        </w:tc>
      </w:tr>
      <w:tr w14:paraId="7110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8163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52AB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D9665">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D3F59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05386D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第三档方案基本完整、针对性一般、可行性一般、保障措施一般的，得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0DCC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BF09B">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01C3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FE308C">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D5B05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64E3CF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缺项或</w:t>
            </w:r>
            <w:r>
              <w:rPr>
                <w:rFonts w:hint="eastAsia" w:ascii="宋体" w:hAnsi="宋体" w:eastAsia="宋体" w:cs="宋体"/>
                <w:i w:val="0"/>
                <w:iCs w:val="0"/>
                <w:color w:val="auto"/>
                <w:kern w:val="0"/>
                <w:sz w:val="21"/>
                <w:szCs w:val="21"/>
                <w:highlight w:val="none"/>
                <w:u w:val="none"/>
                <w:lang w:val="en-US" w:eastAsia="zh-CN" w:bidi="ar"/>
              </w:rPr>
              <w:t>方案有欠缺、针对性较差、可行性一般、保障措施不足的，得0分。</w:t>
            </w:r>
          </w:p>
        </w:tc>
      </w:tr>
      <w:tr w14:paraId="24FD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8CC82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750CB">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9E27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sz w:val="21"/>
                <w:szCs w:val="21"/>
                <w:highlight w:val="none"/>
              </w:rPr>
              <w:t>工作进度安排及保证措施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7039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C88FD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sz w:val="21"/>
                <w:szCs w:val="21"/>
                <w:highlight w:val="none"/>
              </w:rPr>
              <w:t>工作进度安排及保证措施</w:t>
            </w:r>
            <w:r>
              <w:rPr>
                <w:rFonts w:hint="eastAsia" w:ascii="宋体" w:hAnsi="宋体" w:eastAsia="宋体" w:cs="宋体"/>
                <w:i w:val="0"/>
                <w:iCs w:val="0"/>
                <w:color w:val="auto"/>
                <w:kern w:val="0"/>
                <w:sz w:val="21"/>
                <w:szCs w:val="21"/>
                <w:highlight w:val="none"/>
                <w:u w:val="none"/>
                <w:lang w:val="en-US" w:eastAsia="zh-CN" w:bidi="ar"/>
              </w:rPr>
              <w:t>：</w:t>
            </w:r>
          </w:p>
        </w:tc>
      </w:tr>
      <w:tr w14:paraId="584E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DDC22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31137F">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1A42B2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30" w:type="dxa"/>
            <w:vMerge w:val="continue"/>
            <w:tcBorders>
              <w:left w:val="single" w:color="000000" w:sz="4" w:space="0"/>
              <w:right w:val="single" w:color="000000" w:sz="4" w:space="0"/>
            </w:tcBorders>
            <w:noWrap w:val="0"/>
            <w:vAlign w:val="center"/>
          </w:tcPr>
          <w:p w14:paraId="0102C6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54A6CBCC">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bidi="ar"/>
              </w:rPr>
              <w:t>工作进度计划及保证措施合理的，得</w:t>
            </w:r>
            <w:r>
              <w:rPr>
                <w:rFonts w:hint="eastAsia" w:ascii="宋体" w:hAnsi="宋体" w:eastAsia="宋体" w:cs="宋体"/>
                <w:color w:val="000000"/>
                <w:kern w:val="0"/>
                <w:sz w:val="21"/>
                <w:szCs w:val="21"/>
                <w:highlight w:val="none"/>
                <w:lang w:val="en-US" w:eastAsia="zh-CN" w:bidi="ar"/>
              </w:rPr>
              <w:t>8</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10</w:t>
            </w:r>
            <w:r>
              <w:rPr>
                <w:rFonts w:hint="eastAsia" w:ascii="宋体" w:hAnsi="宋体" w:eastAsia="宋体" w:cs="宋体"/>
                <w:color w:val="000000"/>
                <w:kern w:val="0"/>
                <w:sz w:val="21"/>
                <w:szCs w:val="21"/>
                <w:highlight w:val="none"/>
                <w:lang w:bidi="ar"/>
              </w:rPr>
              <w:t xml:space="preserve">分； </w:t>
            </w:r>
          </w:p>
          <w:p w14:paraId="6E20A84E">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bidi="ar"/>
              </w:rPr>
              <w:t>工作进度计划及保证措施较合理的，得</w:t>
            </w:r>
            <w:r>
              <w:rPr>
                <w:rFonts w:hint="eastAsia" w:ascii="宋体" w:hAnsi="宋体" w:eastAsia="宋体" w:cs="宋体"/>
                <w:color w:val="000000"/>
                <w:kern w:val="0"/>
                <w:sz w:val="21"/>
                <w:szCs w:val="21"/>
                <w:highlight w:val="none"/>
                <w:lang w:val="en-US" w:eastAsia="zh-CN" w:bidi="ar"/>
              </w:rPr>
              <w:t>6</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8</w:t>
            </w:r>
            <w:r>
              <w:rPr>
                <w:rFonts w:hint="eastAsia" w:ascii="宋体" w:hAnsi="宋体" w:eastAsia="宋体" w:cs="宋体"/>
                <w:color w:val="000000"/>
                <w:kern w:val="0"/>
                <w:sz w:val="21"/>
                <w:szCs w:val="21"/>
                <w:highlight w:val="none"/>
                <w:lang w:bidi="ar"/>
              </w:rPr>
              <w:t xml:space="preserve">分； </w:t>
            </w:r>
          </w:p>
          <w:p w14:paraId="7734D6C1">
            <w:pPr>
              <w:pStyle w:val="6"/>
              <w:keepNext w:val="0"/>
              <w:keepLines w:val="0"/>
              <w:pageBreakBefore w:val="0"/>
              <w:kinsoku/>
              <w:wordWrap/>
              <w:overflowPunct/>
              <w:topLinePunct w:val="0"/>
              <w:autoSpaceDE/>
              <w:autoSpaceDN/>
              <w:bidi w:val="0"/>
              <w:adjustRightInd/>
              <w:snapToGrid w:val="0"/>
              <w:spacing w:line="320" w:lineRule="exac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工作进度计划及保证措施基本合理的，得</w:t>
            </w:r>
            <w:r>
              <w:rPr>
                <w:rFonts w:hint="eastAsia" w:ascii="宋体" w:hAnsi="宋体" w:eastAsia="宋体" w:cs="宋体"/>
                <w:color w:val="000000"/>
                <w:kern w:val="0"/>
                <w:sz w:val="21"/>
                <w:szCs w:val="21"/>
                <w:highlight w:val="none"/>
                <w:lang w:val="en-US" w:eastAsia="zh-CN" w:bidi="ar"/>
              </w:rPr>
              <w:t>6</w:t>
            </w:r>
            <w:r>
              <w:rPr>
                <w:rFonts w:hint="eastAsia" w:ascii="宋体" w:hAnsi="宋体" w:eastAsia="宋体" w:cs="宋体"/>
                <w:color w:val="000000"/>
                <w:kern w:val="0"/>
                <w:sz w:val="21"/>
                <w:szCs w:val="21"/>
                <w:highlight w:val="none"/>
                <w:lang w:bidi="ar"/>
              </w:rPr>
              <w:t>分；</w:t>
            </w:r>
          </w:p>
          <w:p w14:paraId="0066CA4A">
            <w:pPr>
              <w:pStyle w:val="7"/>
              <w:keepNext w:val="0"/>
              <w:keepLines w:val="0"/>
              <w:pageBreakBefore w:val="0"/>
              <w:kinsoku/>
              <w:wordWrap/>
              <w:overflowPunct/>
              <w:topLinePunct w:val="0"/>
              <w:autoSpaceDE/>
              <w:autoSpaceDN/>
              <w:bidi w:val="0"/>
              <w:adjustRightInd/>
              <w:snapToGrid w:val="0"/>
              <w:spacing w:line="320" w:lineRule="exact"/>
              <w:rPr>
                <w:rFonts w:hint="eastAsia"/>
                <w:highlight w:val="none"/>
              </w:rPr>
            </w:pPr>
            <w:r>
              <w:rPr>
                <w:rFonts w:hint="eastAsia" w:ascii="宋体" w:hAnsi="宋体" w:eastAsia="宋体" w:cs="宋体"/>
                <w:sz w:val="21"/>
                <w:szCs w:val="21"/>
                <w:highlight w:val="none"/>
              </w:rPr>
              <w:t>缺项或合理性较差得0分</w:t>
            </w:r>
          </w:p>
        </w:tc>
      </w:tr>
      <w:tr w14:paraId="257F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599A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E920D">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64F95D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发行保障措施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669E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97B8D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发行保障措施：</w:t>
            </w:r>
          </w:p>
        </w:tc>
      </w:tr>
      <w:tr w14:paraId="3A11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F33C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8B3F6">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EDB88F">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4A47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747E994">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对宏观市场分析，近期利率走势，本期债券定价，及余额包销能力相关措施</w:t>
            </w:r>
          </w:p>
          <w:p w14:paraId="61B02BB1">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1.措施完善、合理可行，能较好的满足本项目要求得8-10分；</w:t>
            </w:r>
          </w:p>
          <w:p w14:paraId="1701BED5">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2.较合理完善，可行性一般，能满足本项目要求得6-8分；</w:t>
            </w:r>
          </w:p>
          <w:p w14:paraId="603E9E8E">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3.合理性一般，可操作性一般得 6分。</w:t>
            </w:r>
          </w:p>
          <w:p w14:paraId="340807CB">
            <w:pPr>
              <w:pStyle w:val="13"/>
              <w:ind w:left="0" w:leftChars="0" w:firstLine="0" w:firstLineChars="0"/>
              <w:rPr>
                <w:rFonts w:hint="default" w:eastAsia="宋体"/>
                <w:sz w:val="21"/>
                <w:szCs w:val="21"/>
                <w:highlight w:val="none"/>
                <w:lang w:val="en-US" w:eastAsia="zh-CN"/>
              </w:rPr>
            </w:pPr>
            <w:r>
              <w:rPr>
                <w:rFonts w:hint="eastAsia"/>
                <w:sz w:val="21"/>
                <w:szCs w:val="21"/>
                <w:highlight w:val="none"/>
                <w:lang w:val="en-US" w:eastAsia="zh-CN"/>
              </w:rPr>
              <w:t>缺项或合理性较差得0分</w:t>
            </w:r>
          </w:p>
        </w:tc>
      </w:tr>
      <w:tr w14:paraId="1AD9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57C54">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87B97A">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A70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服务及存续期管理措施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D038B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FC518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服务及存续期管理措施：</w:t>
            </w:r>
          </w:p>
        </w:tc>
      </w:tr>
      <w:tr w14:paraId="6E75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9F2EE6">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74EDB3">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701CA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2FB68">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AC65E70">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1.措施完善、合理可行，能较好的满足本项目要求得8-10分；</w:t>
            </w:r>
          </w:p>
          <w:p w14:paraId="7E58F140">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2.较合理完善，可行性一般，能满足本项目要求得6-8分；</w:t>
            </w:r>
          </w:p>
          <w:p w14:paraId="2A24A083">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3.合理性欠佳，可操作性一般得6分。</w:t>
            </w:r>
          </w:p>
          <w:p w14:paraId="02A7D943">
            <w:pPr>
              <w:pStyle w:val="13"/>
              <w:ind w:left="0" w:leftChars="0" w:firstLine="0" w:firstLineChars="0"/>
              <w:rPr>
                <w:rFonts w:hint="eastAsia"/>
                <w:sz w:val="21"/>
                <w:szCs w:val="21"/>
                <w:highlight w:val="none"/>
              </w:rPr>
            </w:pPr>
            <w:r>
              <w:rPr>
                <w:rFonts w:hint="eastAsia"/>
                <w:sz w:val="21"/>
                <w:szCs w:val="21"/>
                <w:highlight w:val="none"/>
                <w:lang w:val="en-US" w:eastAsia="zh-CN"/>
              </w:rPr>
              <w:t>缺项或合理性较差得0分</w:t>
            </w:r>
          </w:p>
        </w:tc>
      </w:tr>
      <w:tr w14:paraId="3708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532E4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评标价</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D094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0分</w:t>
            </w: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005986C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得分计算公式：</w:t>
            </w:r>
          </w:p>
          <w:p w14:paraId="46E72DB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本次报价上限为不超过</w:t>
            </w:r>
            <w:r>
              <w:rPr>
                <w:rFonts w:hint="eastAsia" w:ascii="宋体" w:hAnsi="宋体" w:cs="宋体"/>
                <w:i w:val="0"/>
                <w:iCs w:val="0"/>
                <w:color w:val="auto"/>
                <w:kern w:val="0"/>
                <w:sz w:val="21"/>
                <w:szCs w:val="21"/>
                <w:highlight w:val="none"/>
                <w:u w:val="none"/>
                <w:lang w:val="en-US" w:eastAsia="zh-CN" w:bidi="ar"/>
              </w:rPr>
              <w:t>万分之</w:t>
            </w:r>
            <w:r>
              <w:rPr>
                <w:rFonts w:hint="eastAsia" w:ascii="宋体" w:hAnsi="宋体" w:cs="宋体"/>
                <w:i w:val="0"/>
                <w:iCs w:val="0"/>
                <w:color w:val="auto"/>
                <w:kern w:val="0"/>
                <w:sz w:val="21"/>
                <w:szCs w:val="21"/>
                <w:highlight w:val="none"/>
                <w:u w:val="single"/>
                <w:lang w:val="en-US" w:eastAsia="zh-CN" w:bidi="ar"/>
              </w:rPr>
              <w:t xml:space="preserve"> 5 </w:t>
            </w:r>
            <w:r>
              <w:rPr>
                <w:rFonts w:hint="eastAsia" w:ascii="宋体" w:hAnsi="宋体" w:eastAsia="宋体" w:cs="宋体"/>
                <w:i w:val="0"/>
                <w:iCs w:val="0"/>
                <w:color w:val="auto"/>
                <w:kern w:val="0"/>
                <w:sz w:val="21"/>
                <w:szCs w:val="21"/>
                <w:highlight w:val="none"/>
                <w:u w:val="none"/>
                <w:lang w:val="en-US" w:eastAsia="zh-CN" w:bidi="ar"/>
              </w:rPr>
              <w:t>/年，超过报价上限为无效报价。</w:t>
            </w:r>
          </w:p>
        </w:tc>
      </w:tr>
      <w:tr w14:paraId="75C2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FF34D">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B7CFFF">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3BF3A0C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（1）如果投标人的</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，则</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得分=F-（投标人</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一</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）×10000×E1；</w:t>
            </w:r>
          </w:p>
        </w:tc>
      </w:tr>
      <w:tr w14:paraId="40CA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1412C">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35CBE">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372976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（2）如果投标人的</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，则</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得分=F+（投标人</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一</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）×10000×E2。</w:t>
            </w:r>
          </w:p>
        </w:tc>
      </w:tr>
      <w:tr w14:paraId="5818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E36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CC95B">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5DB1F55D">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其中，F=</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0；E1=0.</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；E2=0.</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；（报价不得违背《非金融企业债务融资工具承销机构自律公约》相关要求）</w:t>
            </w:r>
            <w:r>
              <w:rPr>
                <w:rFonts w:hint="eastAsia" w:ascii="宋体" w:hAnsi="宋体" w:cs="宋体"/>
                <w:i w:val="0"/>
                <w:iCs w:val="0"/>
                <w:color w:val="auto"/>
                <w:kern w:val="0"/>
                <w:sz w:val="21"/>
                <w:szCs w:val="21"/>
                <w:highlight w:val="none"/>
                <w:u w:val="none"/>
                <w:lang w:val="en-US" w:eastAsia="zh-CN" w:bidi="ar"/>
              </w:rPr>
              <w:t>。</w:t>
            </w:r>
          </w:p>
          <w:p w14:paraId="685231A7">
            <w:pPr>
              <w:pStyle w:val="29"/>
              <w:rPr>
                <w:rFonts w:hint="eastAsia"/>
                <w:color w:val="auto"/>
                <w:sz w:val="21"/>
                <w:szCs w:val="21"/>
                <w:highlight w:val="none"/>
              </w:rPr>
            </w:pPr>
            <w:r>
              <w:rPr>
                <w:rFonts w:hint="eastAsia" w:ascii="宋体" w:hAnsi="宋体" w:eastAsia="宋体" w:cs="宋体"/>
                <w:color w:val="auto"/>
                <w:sz w:val="21"/>
                <w:szCs w:val="21"/>
                <w:highlight w:val="none"/>
              </w:rPr>
              <w:t>评标价</w:t>
            </w:r>
            <w:r>
              <w:rPr>
                <w:rFonts w:hint="eastAsia" w:ascii="宋体" w:hAnsi="宋体" w:eastAsia="宋体" w:cs="宋体"/>
                <w:color w:val="auto"/>
                <w:sz w:val="21"/>
                <w:szCs w:val="21"/>
                <w:highlight w:val="none"/>
                <w:lang w:val="en-US" w:eastAsia="zh-CN"/>
              </w:rPr>
              <w:t>得分</w:t>
            </w:r>
            <w:r>
              <w:rPr>
                <w:rFonts w:hint="eastAsia" w:ascii="宋体" w:hAnsi="宋体" w:eastAsia="宋体" w:cs="宋体"/>
                <w:color w:val="auto"/>
                <w:sz w:val="21"/>
                <w:szCs w:val="21"/>
                <w:highlight w:val="none"/>
              </w:rPr>
              <w:t>保留小数点后两位，小数点后第三位四舍五入</w:t>
            </w:r>
          </w:p>
        </w:tc>
      </w:tr>
    </w:tbl>
    <w:p w14:paraId="1693FFB0">
      <w:pPr>
        <w:rPr>
          <w:sz w:val="24"/>
          <w:highlight w:val="none"/>
        </w:rPr>
      </w:pPr>
    </w:p>
    <w:p w14:paraId="3EEFFA61">
      <w:pPr>
        <w:rPr>
          <w:kern w:val="0"/>
          <w:sz w:val="21"/>
          <w:szCs w:val="21"/>
          <w:highlight w:val="none"/>
          <w:lang w:val="zh-CN"/>
        </w:rPr>
      </w:pPr>
      <w:r>
        <w:rPr>
          <w:kern w:val="0"/>
          <w:sz w:val="21"/>
          <w:szCs w:val="21"/>
          <w:highlight w:val="none"/>
          <w:lang w:val="zh-CN"/>
        </w:rPr>
        <w:t>注：1、</w:t>
      </w:r>
      <w:r>
        <w:rPr>
          <w:rFonts w:hint="eastAsia" w:ascii="宋体" w:hAnsi="宋体" w:eastAsia="宋体" w:cs="宋体"/>
          <w:i w:val="0"/>
          <w:iCs w:val="0"/>
          <w:color w:val="auto"/>
          <w:kern w:val="0"/>
          <w:sz w:val="21"/>
          <w:szCs w:val="21"/>
          <w:highlight w:val="none"/>
          <w:u w:val="none"/>
          <w:lang w:val="en-US" w:eastAsia="zh-CN" w:bidi="ar"/>
        </w:rPr>
        <w:t>服务方案部分</w:t>
      </w:r>
      <w:r>
        <w:rPr>
          <w:kern w:val="0"/>
          <w:sz w:val="21"/>
          <w:szCs w:val="21"/>
          <w:highlight w:val="none"/>
          <w:lang w:val="zh-CN"/>
        </w:rPr>
        <w:t>各评委打分保留1位小数，投标人该项得分以各评委打分平均值计算所得，保留两位小数，第三位小数四舍五入。</w:t>
      </w:r>
    </w:p>
    <w:p w14:paraId="18DE8B93">
      <w:r>
        <w:rPr>
          <w:kern w:val="0"/>
          <w:sz w:val="21"/>
          <w:szCs w:val="21"/>
          <w:highlight w:val="none"/>
          <w:lang w:val="zh-CN"/>
        </w:rPr>
        <w:t>2、</w:t>
      </w:r>
      <w:r>
        <w:rPr>
          <w:rFonts w:hint="eastAsia" w:ascii="宋体" w:hAnsi="宋体" w:eastAsia="宋体" w:cs="宋体"/>
          <w:i w:val="0"/>
          <w:iCs w:val="0"/>
          <w:color w:val="auto"/>
          <w:kern w:val="0"/>
          <w:sz w:val="21"/>
          <w:szCs w:val="21"/>
          <w:highlight w:val="none"/>
          <w:u w:val="none"/>
          <w:lang w:val="en-US" w:eastAsia="zh-CN" w:bidi="ar"/>
        </w:rPr>
        <w:t>服务方案部分</w:t>
      </w:r>
      <w:r>
        <w:rPr>
          <w:kern w:val="0"/>
          <w:sz w:val="21"/>
          <w:szCs w:val="21"/>
          <w:highlight w:val="none"/>
          <w:lang w:val="zh-CN"/>
        </w:rPr>
        <w:t>评审因素</w:t>
      </w:r>
      <w:r>
        <w:rPr>
          <w:rFonts w:hint="eastAsia"/>
          <w:kern w:val="0"/>
          <w:sz w:val="21"/>
          <w:szCs w:val="21"/>
          <w:highlight w:val="none"/>
          <w:lang w:val="en-US" w:eastAsia="zh-CN"/>
        </w:rPr>
        <w:t>细分项</w:t>
      </w:r>
      <w:r>
        <w:rPr>
          <w:kern w:val="0"/>
          <w:sz w:val="21"/>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14CB1"/>
    <w:rsid w:val="2F8266AE"/>
    <w:rsid w:val="3ECA4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5">
    <w:name w:val="Default Paragraph Font"/>
    <w:semiHidden/>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4">
    <w:name w:val="table of authorities"/>
    <w:basedOn w:val="1"/>
    <w:next w:val="1"/>
    <w:qFormat/>
    <w:uiPriority w:val="99"/>
    <w:pPr>
      <w:spacing w:line="400" w:lineRule="exact"/>
      <w:ind w:firstLine="420" w:firstLineChars="200"/>
    </w:pPr>
    <w:rPr>
      <w:rFonts w:ascii="宋体" w:hAnsi="宋体" w:cs="宋体"/>
      <w:bCs/>
      <w:color w:val="000000"/>
      <w:sz w:val="21"/>
      <w:szCs w:val="21"/>
    </w:rPr>
  </w:style>
  <w:style w:type="paragraph" w:styleId="5">
    <w:name w:val="annotation text"/>
    <w:basedOn w:val="1"/>
    <w:next w:val="4"/>
    <w:qFormat/>
    <w:uiPriority w:val="0"/>
    <w:pPr>
      <w:jc w:val="left"/>
    </w:pPr>
  </w:style>
  <w:style w:type="paragraph" w:styleId="6">
    <w:name w:val="Body Text"/>
    <w:basedOn w:val="1"/>
    <w:next w:val="7"/>
    <w:qFormat/>
    <w:uiPriority w:val="0"/>
    <w:rPr>
      <w:kern w:val="2"/>
      <w:szCs w:val="24"/>
    </w:rPr>
  </w:style>
  <w:style w:type="paragraph" w:customStyle="1" w:styleId="7">
    <w:name w:val="正文部分 Char Char Char"/>
    <w:basedOn w:val="6"/>
    <w:next w:val="8"/>
    <w:qFormat/>
    <w:uiPriority w:val="0"/>
    <w:pPr>
      <w:spacing w:line="460" w:lineRule="exact"/>
      <w:textAlignment w:val="baseline"/>
    </w:pPr>
    <w:rPr>
      <w:rFonts w:ascii="等线" w:hAnsi="等线" w:eastAsia="等线"/>
    </w:rPr>
  </w:style>
  <w:style w:type="paragraph" w:customStyle="1" w:styleId="8">
    <w:name w:val="章标题"/>
    <w:basedOn w:val="9"/>
    <w:qFormat/>
    <w:uiPriority w:val="0"/>
    <w:rPr>
      <w:rFonts w:ascii="等线" w:hAnsi="等线"/>
    </w:rPr>
  </w:style>
  <w:style w:type="paragraph" w:styleId="9">
    <w:name w:val="Title"/>
    <w:basedOn w:val="1"/>
    <w:next w:val="1"/>
    <w:qFormat/>
    <w:uiPriority w:val="0"/>
    <w:pPr>
      <w:spacing w:before="240" w:after="60"/>
      <w:jc w:val="center"/>
      <w:outlineLvl w:val="0"/>
    </w:pPr>
    <w:rPr>
      <w:rFonts w:ascii="Arial" w:hAnsi="Arial" w:cs="Arial"/>
      <w:b/>
      <w:bCs/>
      <w:sz w:val="32"/>
      <w:szCs w:val="32"/>
    </w:rPr>
  </w:style>
  <w:style w:type="paragraph" w:styleId="10">
    <w:name w:val="Body Text Indent"/>
    <w:basedOn w:val="1"/>
    <w:next w:val="11"/>
    <w:qFormat/>
    <w:uiPriority w:val="0"/>
    <w:pPr>
      <w:ind w:firstLine="480"/>
    </w:pPr>
    <w:rPr>
      <w:kern w:val="2"/>
      <w:sz w:val="24"/>
    </w:rPr>
  </w:style>
  <w:style w:type="paragraph" w:styleId="11">
    <w:name w:val="toc 8"/>
    <w:basedOn w:val="1"/>
    <w:next w:val="1"/>
    <w:unhideWhenUsed/>
    <w:qFormat/>
    <w:uiPriority w:val="39"/>
    <w:pPr>
      <w:ind w:left="2940" w:leftChars="1400"/>
    </w:pPr>
    <w:rPr>
      <w:rFonts w:ascii="Calibri" w:hAnsi="Calibri" w:eastAsia="宋体" w:cs="Times New Roman"/>
      <w:kern w:val="2"/>
      <w:sz w:val="21"/>
      <w:szCs w:val="22"/>
    </w:rPr>
  </w:style>
  <w:style w:type="paragraph" w:styleId="12">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3">
    <w:name w:val="Body Text First Indent 2"/>
    <w:basedOn w:val="10"/>
    <w:next w:val="5"/>
    <w:qFormat/>
    <w:uiPriority w:val="0"/>
    <w:pPr>
      <w:widowControl w:val="0"/>
      <w:ind w:firstLine="420" w:firstLineChars="200"/>
      <w:jc w:val="both"/>
    </w:pPr>
    <w:rPr>
      <w:rFonts w:cs="Times New Roman"/>
      <w:kern w:val="2"/>
      <w:sz w:val="21"/>
      <w:szCs w:val="24"/>
    </w:rPr>
  </w:style>
  <w:style w:type="paragraph" w:customStyle="1" w:styleId="16">
    <w:name w:val="样式22"/>
    <w:basedOn w:val="17"/>
    <w:qFormat/>
    <w:uiPriority w:val="0"/>
    <w:pPr>
      <w:tabs>
        <w:tab w:val="left" w:pos="0"/>
      </w:tabs>
      <w:ind w:left="0" w:firstLine="200" w:firstLineChars="200"/>
    </w:pPr>
  </w:style>
  <w:style w:type="paragraph" w:customStyle="1" w:styleId="17">
    <w:name w:val="样式21"/>
    <w:basedOn w:val="3"/>
    <w:qFormat/>
    <w:uiPriority w:val="0"/>
    <w:pPr>
      <w:spacing w:before="0" w:after="0" w:line="360" w:lineRule="auto"/>
      <w:ind w:left="200" w:hanging="200" w:hangingChars="200"/>
    </w:pPr>
    <w:rPr>
      <w:sz w:val="24"/>
    </w:rPr>
  </w:style>
  <w:style w:type="paragraph" w:customStyle="1" w:styleId="18">
    <w:name w:val="样式23"/>
    <w:basedOn w:val="19"/>
    <w:qFormat/>
    <w:uiPriority w:val="0"/>
    <w:pPr>
      <w:tabs>
        <w:tab w:val="left" w:pos="0"/>
      </w:tabs>
    </w:pPr>
    <w:rPr>
      <w:sz w:val="24"/>
    </w:rPr>
  </w:style>
  <w:style w:type="paragraph" w:customStyle="1" w:styleId="19">
    <w:name w:val="样式17"/>
    <w:basedOn w:val="20"/>
    <w:qFormat/>
    <w:uiPriority w:val="0"/>
    <w:pPr>
      <w:tabs>
        <w:tab w:val="left" w:pos="0"/>
      </w:tabs>
      <w:ind w:firstLine="200" w:firstLineChars="200"/>
    </w:pPr>
  </w:style>
  <w:style w:type="paragraph" w:customStyle="1" w:styleId="20">
    <w:name w:val="样式16"/>
    <w:basedOn w:val="3"/>
    <w:qFormat/>
    <w:uiPriority w:val="0"/>
    <w:pPr>
      <w:spacing w:before="0" w:after="0" w:line="360" w:lineRule="auto"/>
    </w:pPr>
    <w:rPr>
      <w:sz w:val="28"/>
    </w:rPr>
  </w:style>
  <w:style w:type="paragraph" w:customStyle="1" w:styleId="21">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22">
    <w:name w:val="样式26"/>
    <w:basedOn w:val="23"/>
    <w:qFormat/>
    <w:uiPriority w:val="0"/>
    <w:pPr>
      <w:tabs>
        <w:tab w:val="left" w:pos="0"/>
      </w:tabs>
      <w:ind w:firstLine="562"/>
    </w:pPr>
    <w:rPr>
      <w:sz w:val="24"/>
    </w:rPr>
  </w:style>
  <w:style w:type="paragraph" w:customStyle="1" w:styleId="23">
    <w:name w:val="样式24"/>
    <w:basedOn w:val="3"/>
    <w:qFormat/>
    <w:uiPriority w:val="0"/>
    <w:pPr>
      <w:spacing w:before="0" w:after="0" w:line="360" w:lineRule="auto"/>
      <w:ind w:firstLine="200" w:firstLineChars="200"/>
    </w:pPr>
    <w:rPr>
      <w:sz w:val="28"/>
    </w:rPr>
  </w:style>
  <w:style w:type="paragraph" w:customStyle="1" w:styleId="24">
    <w:name w:val="样式25"/>
    <w:basedOn w:val="25"/>
    <w:qFormat/>
    <w:uiPriority w:val="0"/>
    <w:pPr>
      <w:tabs>
        <w:tab w:val="left" w:pos="0"/>
      </w:tabs>
    </w:pPr>
    <w:rPr>
      <w:sz w:val="24"/>
    </w:rPr>
  </w:style>
  <w:style w:type="paragraph" w:customStyle="1" w:styleId="25">
    <w:name w:val="样式20"/>
    <w:basedOn w:val="3"/>
    <w:qFormat/>
    <w:uiPriority w:val="0"/>
    <w:pPr>
      <w:spacing w:before="0" w:after="0" w:line="360" w:lineRule="auto"/>
      <w:ind w:firstLine="200" w:firstLineChars="200"/>
    </w:pPr>
  </w:style>
  <w:style w:type="paragraph" w:customStyle="1" w:styleId="26">
    <w:name w:val="样式27"/>
    <w:basedOn w:val="3"/>
    <w:qFormat/>
    <w:uiPriority w:val="0"/>
    <w:pPr>
      <w:spacing w:before="0" w:after="0" w:line="360" w:lineRule="auto"/>
      <w:ind w:firstLine="200" w:firstLineChars="200"/>
    </w:pPr>
    <w:rPr>
      <w:sz w:val="24"/>
    </w:rPr>
  </w:style>
  <w:style w:type="paragraph" w:customStyle="1" w:styleId="27">
    <w:name w:val="样式124"/>
    <w:basedOn w:val="3"/>
    <w:qFormat/>
    <w:uiPriority w:val="0"/>
    <w:pPr>
      <w:spacing w:before="0" w:after="0" w:line="360" w:lineRule="auto"/>
      <w:ind w:firstLine="200" w:firstLineChars="200"/>
    </w:pPr>
    <w:rPr>
      <w:sz w:val="24"/>
    </w:rPr>
  </w:style>
  <w:style w:type="paragraph" w:customStyle="1" w:styleId="28">
    <w:name w:val="样式30"/>
    <w:basedOn w:val="3"/>
    <w:qFormat/>
    <w:uiPriority w:val="0"/>
    <w:pPr>
      <w:spacing w:before="0" w:after="0" w:line="360" w:lineRule="auto"/>
      <w:ind w:firstLine="200" w:firstLineChars="200"/>
    </w:pPr>
    <w:rPr>
      <w:sz w:val="24"/>
    </w:rPr>
  </w:style>
  <w:style w:type="paragraph" w:customStyle="1" w:styleId="29">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30">
    <w:name w:val="样式54"/>
    <w:basedOn w:val="2"/>
    <w:qFormat/>
    <w:uiPriority w:val="0"/>
    <w:pPr>
      <w:spacing w:before="0" w:after="0" w:line="360" w:lineRule="auto"/>
      <w:jc w:val="center"/>
    </w:pPr>
  </w:style>
  <w:style w:type="paragraph" w:customStyle="1" w:styleId="31">
    <w:name w:val="Table Paragraph"/>
    <w:basedOn w:val="1"/>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6631</Words>
  <Characters>7236</Characters>
  <Lines>0</Lines>
  <Paragraphs>0</Paragraphs>
  <TotalTime>2</TotalTime>
  <ScaleCrop>false</ScaleCrop>
  <LinksUpToDate>false</LinksUpToDate>
  <CharactersWithSpaces>7277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2025-09-29T00:28:41Z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