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77E8A2">
      <w:pPr>
        <w:rPr>
          <w:rFonts w:hint="eastAsia" w:ascii="宋体" w:hAnsi="宋体" w:cs="宋体"/>
          <w:b/>
          <w:color w:val="auto"/>
          <w:sz w:val="28"/>
          <w:szCs w:val="28"/>
          <w:highlight w:val="none"/>
        </w:rPr>
      </w:pPr>
      <w:r>
        <w:rPr>
          <w:rFonts w:hint="eastAsia" w:ascii="宋体" w:hAnsi="宋体" w:cs="宋体"/>
          <w:b/>
          <w:color w:val="auto"/>
          <w:sz w:val="28"/>
          <w:szCs w:val="28"/>
          <w:highlight w:val="none"/>
        </w:rPr>
        <w:t>附件1：资格审查条件</w:t>
      </w:r>
    </w:p>
    <w:p w14:paraId="116B2ED2">
      <w:pPr>
        <w:pStyle w:val="43"/>
        <w:rPr>
          <w:rFonts w:hint="eastAsia"/>
          <w:color w:val="auto"/>
          <w:highlight w:val="none"/>
        </w:rPr>
      </w:pPr>
    </w:p>
    <w:p w14:paraId="28C8F1CF">
      <w:pPr>
        <w:adjustRightInd w:val="0"/>
        <w:snapToGrid w:val="0"/>
        <w:spacing w:line="360" w:lineRule="auto"/>
        <w:jc w:val="center"/>
        <w:rPr>
          <w:rFonts w:ascii="宋体" w:hAnsi="宋体"/>
          <w:b/>
          <w:bCs/>
          <w:snapToGrid w:val="0"/>
          <w:color w:val="auto"/>
          <w:kern w:val="0"/>
          <w:sz w:val="24"/>
          <w:szCs w:val="24"/>
          <w:highlight w:val="none"/>
        </w:rPr>
      </w:pPr>
    </w:p>
    <w:p w14:paraId="527BBE03">
      <w:pPr>
        <w:adjustRightInd w:val="0"/>
        <w:snapToGrid w:val="0"/>
        <w:spacing w:line="360" w:lineRule="auto"/>
        <w:jc w:val="center"/>
        <w:rPr>
          <w:rFonts w:ascii="宋体" w:hAnsi="宋体"/>
          <w:b/>
          <w:bCs/>
          <w:snapToGrid w:val="0"/>
          <w:color w:val="auto"/>
          <w:kern w:val="0"/>
          <w:sz w:val="24"/>
          <w:szCs w:val="24"/>
          <w:highlight w:val="none"/>
        </w:rPr>
      </w:pPr>
      <w:r>
        <w:rPr>
          <w:rFonts w:ascii="宋体" w:hAnsi="宋体"/>
          <w:b/>
          <w:bCs/>
          <w:snapToGrid w:val="0"/>
          <w:color w:val="auto"/>
          <w:kern w:val="0"/>
          <w:sz w:val="24"/>
          <w:szCs w:val="24"/>
          <w:highlight w:val="none"/>
        </w:rPr>
        <w:t>附录1  资格审查条件（资质最低要求）</w:t>
      </w:r>
    </w:p>
    <w:tbl>
      <w:tblPr>
        <w:tblStyle w:val="24"/>
        <w:tblW w:w="5068"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9529"/>
      </w:tblGrid>
      <w:tr w14:paraId="316C91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67" w:hRule="atLeast"/>
          <w:jc w:val="center"/>
        </w:trPr>
        <w:tc>
          <w:tcPr>
            <w:tcW w:w="9530" w:type="dxa"/>
            <w:tcBorders>
              <w:top w:val="single" w:color="000000" w:sz="2" w:space="0"/>
              <w:left w:val="single" w:color="auto" w:sz="4" w:space="0"/>
              <w:bottom w:val="single" w:color="000000" w:sz="4" w:space="0"/>
              <w:right w:val="single" w:color="000000" w:sz="2" w:space="0"/>
            </w:tcBorders>
            <w:noWrap w:val="0"/>
            <w:vAlign w:val="center"/>
          </w:tcPr>
          <w:p w14:paraId="3A64349B">
            <w:pPr>
              <w:adjustRightInd w:val="0"/>
              <w:snapToGrid w:val="0"/>
              <w:spacing w:line="240" w:lineRule="auto"/>
              <w:jc w:val="center"/>
              <w:textAlignment w:val="baseline"/>
              <w:rPr>
                <w:rStyle w:val="44"/>
                <w:rFonts w:ascii="宋体" w:hAnsi="宋体"/>
                <w:b w:val="0"/>
                <w:bCs w:val="0"/>
                <w:snapToGrid w:val="0"/>
                <w:color w:val="auto"/>
                <w:kern w:val="0"/>
                <w:sz w:val="24"/>
                <w:szCs w:val="24"/>
                <w:highlight w:val="none"/>
              </w:rPr>
            </w:pPr>
            <w:r>
              <w:rPr>
                <w:rStyle w:val="44"/>
                <w:rFonts w:ascii="宋体" w:hAnsi="宋体"/>
                <w:b w:val="0"/>
                <w:bCs w:val="0"/>
                <w:snapToGrid w:val="0"/>
                <w:color w:val="auto"/>
                <w:kern w:val="0"/>
                <w:sz w:val="24"/>
                <w:szCs w:val="24"/>
                <w:highlight w:val="none"/>
              </w:rPr>
              <w:t>资质要求</w:t>
            </w:r>
          </w:p>
        </w:tc>
      </w:tr>
      <w:tr w14:paraId="1C7984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134" w:hRule="atLeast"/>
          <w:jc w:val="center"/>
        </w:trPr>
        <w:tc>
          <w:tcPr>
            <w:tcW w:w="9530" w:type="dxa"/>
            <w:tcBorders>
              <w:top w:val="single" w:color="000000" w:sz="2" w:space="0"/>
              <w:left w:val="single" w:color="auto" w:sz="4" w:space="0"/>
              <w:bottom w:val="single" w:color="000000" w:sz="2" w:space="0"/>
              <w:right w:val="single" w:color="000000" w:sz="2" w:space="0"/>
            </w:tcBorders>
            <w:noWrap w:val="0"/>
            <w:vAlign w:val="center"/>
          </w:tcPr>
          <w:p w14:paraId="55F9A3FB">
            <w:pPr>
              <w:adjustRightInd w:val="0"/>
              <w:snapToGrid w:val="0"/>
              <w:spacing w:line="240" w:lineRule="auto"/>
              <w:jc w:val="both"/>
              <w:rPr>
                <w:rStyle w:val="44"/>
                <w:rFonts w:hint="eastAsia" w:hAnsi="宋体"/>
                <w:bCs w:val="0"/>
                <w:snapToGrid w:val="0"/>
                <w:color w:val="auto"/>
                <w:sz w:val="24"/>
                <w:szCs w:val="24"/>
                <w:highlight w:val="none"/>
                <w:lang w:val="en-US" w:eastAsia="zh-CN"/>
              </w:rPr>
            </w:pPr>
            <w:r>
              <w:rPr>
                <w:rStyle w:val="44"/>
                <w:rFonts w:hint="eastAsia" w:hAnsi="宋体"/>
                <w:bCs w:val="0"/>
                <w:snapToGrid w:val="0"/>
                <w:color w:val="auto"/>
                <w:sz w:val="24"/>
                <w:szCs w:val="24"/>
                <w:highlight w:val="none"/>
                <w:lang w:val="en-US" w:eastAsia="zh-CN"/>
              </w:rPr>
              <w:t>投标人须为具备独立法人资格的制造商，具有有效的营业执照。</w:t>
            </w:r>
          </w:p>
          <w:p w14:paraId="2442058F">
            <w:pPr>
              <w:adjustRightInd w:val="0"/>
              <w:snapToGrid w:val="0"/>
              <w:spacing w:line="240" w:lineRule="auto"/>
              <w:jc w:val="both"/>
              <w:rPr>
                <w:rStyle w:val="44"/>
                <w:rFonts w:hint="eastAsia" w:hAnsi="宋体"/>
                <w:bCs w:val="0"/>
                <w:snapToGrid w:val="0"/>
                <w:color w:val="auto"/>
                <w:sz w:val="24"/>
                <w:szCs w:val="24"/>
                <w:highlight w:val="none"/>
              </w:rPr>
            </w:pPr>
            <w:r>
              <w:rPr>
                <w:rStyle w:val="44"/>
                <w:rFonts w:hint="eastAsia" w:hAnsi="宋体"/>
                <w:bCs w:val="0"/>
                <w:snapToGrid w:val="0"/>
                <w:color w:val="auto"/>
                <w:sz w:val="24"/>
                <w:szCs w:val="24"/>
                <w:highlight w:val="none"/>
                <w:lang w:val="en-US" w:eastAsia="zh-CN"/>
              </w:rPr>
              <w:t>投标人为制造商，可以是国产设备制造商或进口设备制造商的中国销售公司（总代理）。</w:t>
            </w:r>
          </w:p>
        </w:tc>
      </w:tr>
    </w:tbl>
    <w:p w14:paraId="72DE6FBF">
      <w:pPr>
        <w:pStyle w:val="10"/>
        <w:spacing w:line="240" w:lineRule="auto"/>
        <w:ind w:left="0" w:leftChars="0" w:firstLine="0" w:firstLineChars="0"/>
        <w:jc w:val="center"/>
        <w:rPr>
          <w:rFonts w:hint="eastAsia"/>
          <w:color w:val="auto"/>
          <w:sz w:val="24"/>
          <w:szCs w:val="24"/>
          <w:highlight w:val="none"/>
        </w:rPr>
      </w:pPr>
    </w:p>
    <w:p w14:paraId="179DDB6E">
      <w:pPr>
        <w:spacing w:line="240" w:lineRule="auto"/>
        <w:jc w:val="center"/>
        <w:rPr>
          <w:rFonts w:ascii="宋体" w:hAnsi="宋体"/>
          <w:b/>
          <w:bCs/>
          <w:snapToGrid w:val="0"/>
          <w:color w:val="auto"/>
          <w:kern w:val="0"/>
          <w:sz w:val="24"/>
          <w:szCs w:val="24"/>
          <w:highlight w:val="none"/>
        </w:rPr>
      </w:pPr>
    </w:p>
    <w:p w14:paraId="3715D232">
      <w:pPr>
        <w:spacing w:line="240" w:lineRule="auto"/>
        <w:jc w:val="center"/>
        <w:rPr>
          <w:rFonts w:ascii="宋体" w:hAnsi="宋体"/>
          <w:b/>
          <w:bCs/>
          <w:snapToGrid w:val="0"/>
          <w:color w:val="auto"/>
          <w:kern w:val="0"/>
          <w:sz w:val="24"/>
          <w:szCs w:val="24"/>
          <w:highlight w:val="none"/>
        </w:rPr>
      </w:pPr>
    </w:p>
    <w:p w14:paraId="030B7179">
      <w:pPr>
        <w:spacing w:line="240" w:lineRule="auto"/>
        <w:jc w:val="center"/>
        <w:rPr>
          <w:rFonts w:hint="eastAsia" w:ascii="宋体" w:hAnsi="宋体"/>
          <w:color w:val="auto"/>
          <w:sz w:val="24"/>
          <w:szCs w:val="24"/>
          <w:highlight w:val="none"/>
        </w:rPr>
      </w:pPr>
      <w:r>
        <w:rPr>
          <w:rFonts w:ascii="宋体" w:hAnsi="宋体"/>
          <w:b/>
          <w:bCs/>
          <w:snapToGrid w:val="0"/>
          <w:color w:val="auto"/>
          <w:kern w:val="0"/>
          <w:sz w:val="24"/>
          <w:szCs w:val="24"/>
          <w:highlight w:val="none"/>
        </w:rPr>
        <w:t>附录2  资格审查条件（业绩最低要求）</w:t>
      </w:r>
    </w:p>
    <w:tbl>
      <w:tblPr>
        <w:tblStyle w:val="24"/>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9401"/>
      </w:tblGrid>
      <w:tr w14:paraId="1EA781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7" w:hRule="atLeast"/>
          <w:jc w:val="center"/>
        </w:trPr>
        <w:tc>
          <w:tcPr>
            <w:tcW w:w="5000" w:type="pct"/>
            <w:tcBorders>
              <w:top w:val="single" w:color="000000" w:sz="2" w:space="0"/>
              <w:left w:val="single" w:color="auto" w:sz="4" w:space="0"/>
              <w:bottom w:val="single" w:color="000000" w:sz="4" w:space="0"/>
              <w:right w:val="single" w:color="000000" w:sz="2" w:space="0"/>
            </w:tcBorders>
            <w:noWrap w:val="0"/>
            <w:vAlign w:val="center"/>
          </w:tcPr>
          <w:p w14:paraId="1AE28258">
            <w:pPr>
              <w:adjustRightInd w:val="0"/>
              <w:snapToGrid w:val="0"/>
              <w:spacing w:line="240" w:lineRule="auto"/>
              <w:jc w:val="center"/>
              <w:textAlignment w:val="baseline"/>
              <w:rPr>
                <w:rStyle w:val="44"/>
                <w:rFonts w:ascii="宋体" w:hAnsi="宋体"/>
                <w:snapToGrid w:val="0"/>
                <w:color w:val="auto"/>
                <w:kern w:val="0"/>
                <w:sz w:val="24"/>
                <w:szCs w:val="24"/>
                <w:highlight w:val="none"/>
              </w:rPr>
            </w:pPr>
            <w:r>
              <w:rPr>
                <w:rStyle w:val="44"/>
                <w:rFonts w:ascii="宋体" w:hAnsi="宋体"/>
                <w:snapToGrid w:val="0"/>
                <w:color w:val="auto"/>
                <w:kern w:val="0"/>
                <w:sz w:val="24"/>
                <w:szCs w:val="24"/>
                <w:highlight w:val="none"/>
              </w:rPr>
              <w:t>业绩要求</w:t>
            </w:r>
          </w:p>
        </w:tc>
      </w:tr>
      <w:tr w14:paraId="7E62E3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0" w:hRule="atLeast"/>
          <w:jc w:val="center"/>
        </w:trPr>
        <w:tc>
          <w:tcPr>
            <w:tcW w:w="5000" w:type="pct"/>
            <w:tcBorders>
              <w:top w:val="single" w:color="000000" w:sz="2" w:space="0"/>
              <w:left w:val="single" w:color="auto" w:sz="4" w:space="0"/>
              <w:bottom w:val="single" w:color="000000" w:sz="2" w:space="0"/>
              <w:right w:val="single" w:color="000000" w:sz="2" w:space="0"/>
            </w:tcBorders>
            <w:noWrap w:val="0"/>
            <w:vAlign w:val="center"/>
          </w:tcPr>
          <w:p w14:paraId="18B8AFB2">
            <w:pPr>
              <w:adjustRightInd w:val="0"/>
              <w:snapToGrid w:val="0"/>
              <w:spacing w:line="240" w:lineRule="auto"/>
              <w:ind w:firstLine="480" w:firstLineChars="200"/>
              <w:jc w:val="left"/>
              <w:rPr>
                <w:rStyle w:val="44"/>
                <w:rFonts w:hint="eastAsia" w:hAnsi="宋体" w:eastAsia="宋体"/>
                <w:bCs w:val="0"/>
                <w:snapToGrid w:val="0"/>
                <w:color w:val="auto"/>
                <w:sz w:val="24"/>
                <w:szCs w:val="24"/>
                <w:highlight w:val="none"/>
                <w:lang w:eastAsia="zh-CN"/>
              </w:rPr>
            </w:pPr>
            <w:r>
              <w:rPr>
                <w:rStyle w:val="44"/>
                <w:rFonts w:hint="eastAsia" w:hAnsi="宋体"/>
                <w:bCs w:val="0"/>
                <w:snapToGrid w:val="0"/>
                <w:color w:val="auto"/>
                <w:sz w:val="24"/>
                <w:szCs w:val="24"/>
                <w:highlight w:val="none"/>
                <w:lang w:val="en-US" w:eastAsia="zh-CN"/>
              </w:rPr>
              <w:t>一标段</w:t>
            </w:r>
            <w:r>
              <w:rPr>
                <w:rStyle w:val="44"/>
                <w:rFonts w:hint="eastAsia" w:hAnsi="宋体"/>
                <w:bCs w:val="0"/>
                <w:snapToGrid w:val="0"/>
                <w:color w:val="auto"/>
                <w:sz w:val="24"/>
                <w:szCs w:val="24"/>
                <w:highlight w:val="none"/>
              </w:rPr>
              <w:t>近</w:t>
            </w:r>
            <w:r>
              <w:rPr>
                <w:rStyle w:val="44"/>
                <w:rFonts w:hint="eastAsia" w:hAnsi="宋体"/>
                <w:bCs w:val="0"/>
                <w:snapToGrid w:val="0"/>
                <w:color w:val="auto"/>
                <w:sz w:val="24"/>
                <w:szCs w:val="24"/>
                <w:highlight w:val="none"/>
                <w:lang w:val="en-US" w:eastAsia="zh-CN"/>
              </w:rPr>
              <w:t>3</w:t>
            </w:r>
            <w:r>
              <w:rPr>
                <w:rStyle w:val="44"/>
                <w:rFonts w:hint="eastAsia" w:hAnsi="宋体"/>
                <w:bCs w:val="0"/>
                <w:snapToGrid w:val="0"/>
                <w:color w:val="auto"/>
                <w:sz w:val="24"/>
                <w:szCs w:val="24"/>
                <w:highlight w:val="none"/>
              </w:rPr>
              <w:t>年内（20</w:t>
            </w:r>
            <w:r>
              <w:rPr>
                <w:rStyle w:val="44"/>
                <w:rFonts w:hint="eastAsia" w:hAnsi="宋体"/>
                <w:bCs w:val="0"/>
                <w:snapToGrid w:val="0"/>
                <w:color w:val="auto"/>
                <w:sz w:val="24"/>
                <w:szCs w:val="24"/>
                <w:highlight w:val="none"/>
                <w:lang w:val="en-US" w:eastAsia="zh-CN"/>
              </w:rPr>
              <w:t>22</w:t>
            </w:r>
            <w:r>
              <w:rPr>
                <w:rStyle w:val="44"/>
                <w:rFonts w:hint="eastAsia" w:hAnsi="宋体"/>
                <w:bCs w:val="0"/>
                <w:snapToGrid w:val="0"/>
                <w:color w:val="auto"/>
                <w:sz w:val="24"/>
                <w:szCs w:val="24"/>
                <w:highlight w:val="none"/>
              </w:rPr>
              <w:t>年</w:t>
            </w:r>
            <w:r>
              <w:rPr>
                <w:rStyle w:val="44"/>
                <w:rFonts w:hint="eastAsia" w:hAnsi="宋体"/>
                <w:bCs w:val="0"/>
                <w:snapToGrid w:val="0"/>
                <w:color w:val="auto"/>
                <w:sz w:val="24"/>
                <w:szCs w:val="24"/>
                <w:highlight w:val="none"/>
                <w:lang w:val="en-US" w:eastAsia="zh-CN"/>
              </w:rPr>
              <w:t>9</w:t>
            </w:r>
            <w:r>
              <w:rPr>
                <w:rStyle w:val="44"/>
                <w:rFonts w:hint="eastAsia" w:hAnsi="宋体"/>
                <w:bCs w:val="0"/>
                <w:snapToGrid w:val="0"/>
                <w:color w:val="auto"/>
                <w:sz w:val="24"/>
                <w:szCs w:val="24"/>
                <w:highlight w:val="none"/>
              </w:rPr>
              <w:t>月1日至今，以合同签订时间为准）至少</w:t>
            </w:r>
            <w:r>
              <w:rPr>
                <w:rStyle w:val="44"/>
                <w:rFonts w:hint="eastAsia" w:hAnsi="宋体"/>
                <w:bCs w:val="0"/>
                <w:snapToGrid w:val="0"/>
                <w:color w:val="auto"/>
                <w:sz w:val="24"/>
                <w:szCs w:val="24"/>
                <w:highlight w:val="none"/>
                <w:lang w:val="en-US" w:eastAsia="zh-CN"/>
              </w:rPr>
              <w:t>须承揽过2套HZS180型水泥混凝土拌合设备的供货业绩</w:t>
            </w:r>
            <w:r>
              <w:rPr>
                <w:rStyle w:val="44"/>
                <w:rFonts w:hint="eastAsia" w:hAnsi="宋体"/>
                <w:bCs w:val="0"/>
                <w:snapToGrid w:val="0"/>
                <w:color w:val="auto"/>
                <w:sz w:val="24"/>
                <w:szCs w:val="24"/>
                <w:highlight w:val="none"/>
              </w:rPr>
              <w:t>。</w:t>
            </w:r>
          </w:p>
        </w:tc>
      </w:tr>
      <w:tr w14:paraId="206BEC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44" w:hRule="atLeast"/>
          <w:jc w:val="center"/>
        </w:trPr>
        <w:tc>
          <w:tcPr>
            <w:tcW w:w="5000" w:type="pct"/>
            <w:tcBorders>
              <w:top w:val="single" w:color="000000" w:sz="2" w:space="0"/>
              <w:left w:val="single" w:color="auto" w:sz="4" w:space="0"/>
              <w:bottom w:val="single" w:color="000000" w:sz="2" w:space="0"/>
              <w:right w:val="single" w:color="000000" w:sz="2" w:space="0"/>
            </w:tcBorders>
            <w:noWrap w:val="0"/>
            <w:vAlign w:val="center"/>
          </w:tcPr>
          <w:p w14:paraId="4A409B00">
            <w:pPr>
              <w:adjustRightInd w:val="0"/>
              <w:snapToGrid w:val="0"/>
              <w:spacing w:line="240" w:lineRule="auto"/>
              <w:ind w:firstLine="480" w:firstLineChars="200"/>
              <w:jc w:val="left"/>
              <w:rPr>
                <w:rFonts w:hint="eastAsia" w:ascii="宋体" w:hAnsi="宋体"/>
                <w:snapToGrid w:val="0"/>
                <w:color w:val="auto"/>
                <w:kern w:val="0"/>
                <w:sz w:val="24"/>
                <w:szCs w:val="24"/>
                <w:highlight w:val="none"/>
              </w:rPr>
            </w:pPr>
            <w:r>
              <w:rPr>
                <w:rStyle w:val="44"/>
                <w:rFonts w:hint="eastAsia" w:hAnsi="宋体"/>
                <w:bCs w:val="0"/>
                <w:snapToGrid w:val="0"/>
                <w:color w:val="auto"/>
                <w:sz w:val="24"/>
                <w:szCs w:val="24"/>
                <w:highlight w:val="none"/>
                <w:lang w:val="en-US" w:eastAsia="zh-CN"/>
              </w:rPr>
              <w:t>二标段</w:t>
            </w:r>
            <w:r>
              <w:rPr>
                <w:rStyle w:val="44"/>
                <w:rFonts w:hint="eastAsia" w:hAnsi="宋体"/>
                <w:bCs w:val="0"/>
                <w:snapToGrid w:val="0"/>
                <w:color w:val="auto"/>
                <w:sz w:val="24"/>
                <w:szCs w:val="24"/>
                <w:highlight w:val="none"/>
              </w:rPr>
              <w:t>近</w:t>
            </w:r>
            <w:r>
              <w:rPr>
                <w:rStyle w:val="44"/>
                <w:rFonts w:hint="eastAsia" w:hAnsi="宋体"/>
                <w:bCs w:val="0"/>
                <w:snapToGrid w:val="0"/>
                <w:color w:val="auto"/>
                <w:sz w:val="24"/>
                <w:szCs w:val="24"/>
                <w:highlight w:val="none"/>
                <w:lang w:val="en-US" w:eastAsia="zh-CN"/>
              </w:rPr>
              <w:t>3</w:t>
            </w:r>
            <w:r>
              <w:rPr>
                <w:rStyle w:val="44"/>
                <w:rFonts w:hint="eastAsia" w:hAnsi="宋体"/>
                <w:bCs w:val="0"/>
                <w:snapToGrid w:val="0"/>
                <w:color w:val="auto"/>
                <w:sz w:val="24"/>
                <w:szCs w:val="24"/>
                <w:highlight w:val="none"/>
              </w:rPr>
              <w:t>年内（20</w:t>
            </w:r>
            <w:r>
              <w:rPr>
                <w:rStyle w:val="44"/>
                <w:rFonts w:hint="eastAsia" w:hAnsi="宋体"/>
                <w:bCs w:val="0"/>
                <w:snapToGrid w:val="0"/>
                <w:color w:val="auto"/>
                <w:sz w:val="24"/>
                <w:szCs w:val="24"/>
                <w:highlight w:val="none"/>
                <w:lang w:val="en-US" w:eastAsia="zh-CN"/>
              </w:rPr>
              <w:t>22</w:t>
            </w:r>
            <w:r>
              <w:rPr>
                <w:rStyle w:val="44"/>
                <w:rFonts w:hint="eastAsia" w:hAnsi="宋体"/>
                <w:bCs w:val="0"/>
                <w:snapToGrid w:val="0"/>
                <w:color w:val="auto"/>
                <w:sz w:val="24"/>
                <w:szCs w:val="24"/>
                <w:highlight w:val="none"/>
              </w:rPr>
              <w:t>年</w:t>
            </w:r>
            <w:r>
              <w:rPr>
                <w:rStyle w:val="44"/>
                <w:rFonts w:hint="eastAsia" w:hAnsi="宋体"/>
                <w:bCs w:val="0"/>
                <w:snapToGrid w:val="0"/>
                <w:color w:val="auto"/>
                <w:sz w:val="24"/>
                <w:szCs w:val="24"/>
                <w:highlight w:val="none"/>
                <w:lang w:val="en-US" w:eastAsia="zh-CN"/>
              </w:rPr>
              <w:t>9</w:t>
            </w:r>
            <w:r>
              <w:rPr>
                <w:rStyle w:val="44"/>
                <w:rFonts w:hint="eastAsia" w:hAnsi="宋体"/>
                <w:bCs w:val="0"/>
                <w:snapToGrid w:val="0"/>
                <w:color w:val="auto"/>
                <w:sz w:val="24"/>
                <w:szCs w:val="24"/>
                <w:highlight w:val="none"/>
              </w:rPr>
              <w:t>月1日至今，以合同签订时间为准）至少</w:t>
            </w:r>
            <w:r>
              <w:rPr>
                <w:rStyle w:val="44"/>
                <w:rFonts w:hint="eastAsia" w:hAnsi="宋体"/>
                <w:bCs w:val="0"/>
                <w:snapToGrid w:val="0"/>
                <w:color w:val="auto"/>
                <w:sz w:val="24"/>
                <w:szCs w:val="24"/>
                <w:highlight w:val="none"/>
                <w:lang w:val="en-US" w:eastAsia="zh-CN"/>
              </w:rPr>
              <w:t>须承揽过3套800型水泥稳定土拌合设备的供货业绩</w:t>
            </w:r>
            <w:r>
              <w:rPr>
                <w:rStyle w:val="44"/>
                <w:rFonts w:hint="eastAsia" w:hAnsi="宋体"/>
                <w:bCs w:val="0"/>
                <w:snapToGrid w:val="0"/>
                <w:color w:val="auto"/>
                <w:sz w:val="24"/>
                <w:szCs w:val="24"/>
                <w:highlight w:val="none"/>
              </w:rPr>
              <w:t>。</w:t>
            </w:r>
          </w:p>
        </w:tc>
      </w:tr>
    </w:tbl>
    <w:p w14:paraId="12A02700">
      <w:pPr>
        <w:adjustRightInd w:val="0"/>
        <w:snapToGrid w:val="0"/>
        <w:spacing w:line="360" w:lineRule="auto"/>
        <w:jc w:val="center"/>
        <w:rPr>
          <w:rFonts w:ascii="宋体" w:hAnsi="宋体"/>
          <w:b/>
          <w:bCs/>
          <w:snapToGrid w:val="0"/>
          <w:color w:val="auto"/>
          <w:kern w:val="0"/>
          <w:sz w:val="24"/>
          <w:szCs w:val="24"/>
          <w:highlight w:val="none"/>
        </w:rPr>
      </w:pPr>
    </w:p>
    <w:p w14:paraId="058D0C1E">
      <w:pPr>
        <w:adjustRightInd w:val="0"/>
        <w:snapToGrid w:val="0"/>
        <w:spacing w:line="360" w:lineRule="auto"/>
        <w:jc w:val="center"/>
        <w:rPr>
          <w:rFonts w:ascii="宋体" w:hAnsi="宋体"/>
          <w:b/>
          <w:bCs/>
          <w:snapToGrid w:val="0"/>
          <w:color w:val="auto"/>
          <w:kern w:val="0"/>
          <w:sz w:val="24"/>
          <w:szCs w:val="24"/>
          <w:highlight w:val="none"/>
        </w:rPr>
      </w:pPr>
    </w:p>
    <w:p w14:paraId="67D50215">
      <w:pPr>
        <w:adjustRightInd w:val="0"/>
        <w:snapToGrid w:val="0"/>
        <w:spacing w:line="360" w:lineRule="auto"/>
        <w:jc w:val="center"/>
        <w:rPr>
          <w:rFonts w:ascii="宋体" w:hAnsi="宋体"/>
          <w:b/>
          <w:bCs/>
          <w:snapToGrid w:val="0"/>
          <w:color w:val="auto"/>
          <w:kern w:val="0"/>
          <w:sz w:val="24"/>
          <w:szCs w:val="24"/>
          <w:highlight w:val="none"/>
        </w:rPr>
      </w:pPr>
      <w:r>
        <w:rPr>
          <w:rFonts w:ascii="宋体" w:hAnsi="宋体"/>
          <w:b/>
          <w:bCs/>
          <w:snapToGrid w:val="0"/>
          <w:color w:val="auto"/>
          <w:kern w:val="0"/>
          <w:sz w:val="24"/>
          <w:szCs w:val="24"/>
          <w:highlight w:val="none"/>
        </w:rPr>
        <w:t>附录3  资格审查条件（信誉最低要求）</w:t>
      </w:r>
    </w:p>
    <w:tbl>
      <w:tblPr>
        <w:tblStyle w:val="24"/>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9401"/>
      </w:tblGrid>
      <w:tr w14:paraId="68905C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67" w:hRule="atLeast"/>
          <w:jc w:val="center"/>
        </w:trPr>
        <w:tc>
          <w:tcPr>
            <w:tcW w:w="7541" w:type="dxa"/>
            <w:tcBorders>
              <w:top w:val="single" w:color="000000" w:sz="2" w:space="0"/>
              <w:left w:val="single" w:color="auto" w:sz="4" w:space="0"/>
              <w:bottom w:val="single" w:color="000000" w:sz="4" w:space="0"/>
              <w:right w:val="single" w:color="000000" w:sz="2" w:space="0"/>
            </w:tcBorders>
            <w:noWrap w:val="0"/>
            <w:vAlign w:val="center"/>
          </w:tcPr>
          <w:p w14:paraId="26AE1C3A">
            <w:pPr>
              <w:adjustRightInd w:val="0"/>
              <w:snapToGrid w:val="0"/>
              <w:spacing w:line="240" w:lineRule="auto"/>
              <w:jc w:val="center"/>
              <w:textAlignment w:val="baseline"/>
              <w:rPr>
                <w:rStyle w:val="44"/>
                <w:rFonts w:ascii="宋体" w:hAnsi="宋体"/>
                <w:snapToGrid w:val="0"/>
                <w:color w:val="auto"/>
                <w:kern w:val="0"/>
                <w:sz w:val="24"/>
                <w:szCs w:val="24"/>
                <w:highlight w:val="none"/>
              </w:rPr>
            </w:pPr>
            <w:r>
              <w:rPr>
                <w:rStyle w:val="44"/>
                <w:rFonts w:ascii="宋体" w:hAnsi="宋体"/>
                <w:snapToGrid w:val="0"/>
                <w:color w:val="auto"/>
                <w:kern w:val="0"/>
                <w:sz w:val="24"/>
                <w:szCs w:val="24"/>
                <w:highlight w:val="none"/>
              </w:rPr>
              <w:t>信誉要求</w:t>
            </w:r>
          </w:p>
        </w:tc>
      </w:tr>
      <w:tr w14:paraId="3B3264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134" w:hRule="atLeast"/>
          <w:jc w:val="center"/>
        </w:trPr>
        <w:tc>
          <w:tcPr>
            <w:tcW w:w="7541" w:type="dxa"/>
            <w:tcBorders>
              <w:top w:val="single" w:color="000000" w:sz="2" w:space="0"/>
              <w:left w:val="single" w:color="auto" w:sz="4" w:space="0"/>
              <w:right w:val="single" w:color="000000" w:sz="2" w:space="0"/>
            </w:tcBorders>
            <w:noWrap w:val="0"/>
            <w:vAlign w:val="center"/>
          </w:tcPr>
          <w:p w14:paraId="0119956A">
            <w:pPr>
              <w:pStyle w:val="41"/>
              <w:spacing w:line="240" w:lineRule="auto"/>
              <w:ind w:firstLineChars="200"/>
              <w:rPr>
                <w:rStyle w:val="44"/>
                <w:rFonts w:ascii="宋体" w:hAnsi="宋体"/>
                <w:snapToGrid w:val="0"/>
                <w:color w:val="auto"/>
                <w:sz w:val="24"/>
                <w:szCs w:val="24"/>
                <w:highlight w:val="none"/>
                <w:lang w:bidi="ar"/>
              </w:rPr>
            </w:pPr>
            <w:r>
              <w:rPr>
                <w:rFonts w:hint="eastAsia" w:ascii="宋体" w:hAnsi="宋体"/>
                <w:snapToGrid w:val="0"/>
                <w:color w:val="auto"/>
                <w:sz w:val="24"/>
                <w:szCs w:val="24"/>
                <w:highlight w:val="none"/>
                <w:lang w:bidi="ar"/>
              </w:rPr>
              <w:t>投标人在近1年内（202</w:t>
            </w:r>
            <w:r>
              <w:rPr>
                <w:rFonts w:hint="eastAsia" w:ascii="宋体" w:hAnsi="宋体"/>
                <w:snapToGrid w:val="0"/>
                <w:color w:val="auto"/>
                <w:sz w:val="24"/>
                <w:szCs w:val="24"/>
                <w:highlight w:val="none"/>
                <w:lang w:val="en-US" w:eastAsia="zh-CN" w:bidi="ar"/>
              </w:rPr>
              <w:t>4</w:t>
            </w:r>
            <w:r>
              <w:rPr>
                <w:rFonts w:hint="eastAsia" w:ascii="宋体" w:hAnsi="宋体"/>
                <w:snapToGrid w:val="0"/>
                <w:color w:val="auto"/>
                <w:sz w:val="24"/>
                <w:szCs w:val="24"/>
                <w:highlight w:val="none"/>
                <w:lang w:bidi="ar"/>
              </w:rPr>
              <w:t>年</w:t>
            </w:r>
            <w:r>
              <w:rPr>
                <w:rFonts w:hint="eastAsia" w:ascii="宋体" w:hAnsi="宋体"/>
                <w:snapToGrid w:val="0"/>
                <w:color w:val="auto"/>
                <w:sz w:val="24"/>
                <w:szCs w:val="24"/>
                <w:highlight w:val="none"/>
                <w:lang w:val="en-US" w:eastAsia="zh-CN" w:bidi="ar"/>
              </w:rPr>
              <w:t>9</w:t>
            </w:r>
            <w:r>
              <w:rPr>
                <w:rFonts w:hint="eastAsia" w:ascii="宋体" w:hAnsi="宋体"/>
                <w:snapToGrid w:val="0"/>
                <w:color w:val="auto"/>
                <w:sz w:val="24"/>
                <w:szCs w:val="24"/>
                <w:highlight w:val="none"/>
                <w:lang w:bidi="ar"/>
              </w:rPr>
              <w:t>月1日至今）不曾在水泥拌合设备供货合同中违约而被驱逐或因投标人自身的原因而使水泥拌合设备供货合同被解除。</w:t>
            </w:r>
          </w:p>
        </w:tc>
      </w:tr>
    </w:tbl>
    <w:p w14:paraId="718BEF27">
      <w:pPr>
        <w:pStyle w:val="6"/>
        <w:spacing w:before="120" w:line="360" w:lineRule="auto"/>
        <w:rPr>
          <w:rFonts w:hint="eastAsia" w:ascii="宋体" w:hAnsi="宋体" w:eastAsia="宋体"/>
          <w:snapToGrid w:val="0"/>
          <w:color w:val="auto"/>
          <w:kern w:val="0"/>
          <w:sz w:val="28"/>
          <w:szCs w:val="28"/>
          <w:highlight w:val="none"/>
          <w:lang w:eastAsia="zh-CN"/>
        </w:rPr>
      </w:pPr>
      <w:r>
        <w:rPr>
          <w:rFonts w:ascii="宋体" w:hAnsi="宋体"/>
          <w:color w:val="auto"/>
          <w:w w:val="99"/>
          <w:sz w:val="28"/>
          <w:szCs w:val="28"/>
          <w:highlight w:val="none"/>
        </w:rPr>
        <w:br w:type="page"/>
      </w:r>
      <w:bookmarkStart w:id="0" w:name="_Toc136511007"/>
      <w:bookmarkStart w:id="1" w:name="_Toc147943860"/>
      <w:bookmarkStart w:id="2" w:name="_Toc10475"/>
      <w:bookmarkStart w:id="3" w:name="_Toc16918"/>
      <w:r>
        <w:rPr>
          <w:rFonts w:ascii="宋体" w:hAnsi="宋体"/>
          <w:snapToGrid w:val="0"/>
          <w:color w:val="auto"/>
          <w:kern w:val="0"/>
          <w:sz w:val="28"/>
          <w:szCs w:val="28"/>
          <w:highlight w:val="none"/>
        </w:rPr>
        <w:t>附件2：</w:t>
      </w:r>
      <w:bookmarkEnd w:id="0"/>
      <w:bookmarkEnd w:id="1"/>
      <w:r>
        <w:rPr>
          <w:rFonts w:hint="eastAsia" w:ascii="宋体" w:hAnsi="宋体"/>
          <w:snapToGrid w:val="0"/>
          <w:color w:val="auto"/>
          <w:kern w:val="0"/>
          <w:sz w:val="28"/>
          <w:szCs w:val="28"/>
          <w:highlight w:val="none"/>
        </w:rPr>
        <w:t>评标办法</w:t>
      </w:r>
      <w:bookmarkEnd w:id="2"/>
      <w:bookmarkEnd w:id="3"/>
    </w:p>
    <w:p w14:paraId="0C581423">
      <w:pPr>
        <w:adjustRightInd w:val="0"/>
        <w:snapToGrid w:val="0"/>
        <w:spacing w:line="360" w:lineRule="auto"/>
        <w:jc w:val="center"/>
        <w:textAlignment w:val="baseline"/>
        <w:rPr>
          <w:rFonts w:ascii="宋体" w:hAnsi="宋体"/>
          <w:b/>
          <w:bCs/>
          <w:snapToGrid w:val="0"/>
          <w:color w:val="auto"/>
          <w:kern w:val="0"/>
          <w:sz w:val="24"/>
          <w:highlight w:val="none"/>
        </w:rPr>
      </w:pPr>
      <w:bookmarkStart w:id="4" w:name="_Toc509660966"/>
      <w:bookmarkStart w:id="5" w:name="_Toc134792892"/>
      <w:bookmarkStart w:id="6" w:name="_Toc459307890"/>
      <w:bookmarkStart w:id="7" w:name="_Toc134890522"/>
      <w:bookmarkStart w:id="8" w:name="_Toc450319202"/>
      <w:bookmarkStart w:id="9" w:name="_Toc531949857"/>
      <w:bookmarkStart w:id="10" w:name="_Toc509659998"/>
      <w:bookmarkStart w:id="11" w:name="_Toc134792341"/>
      <w:bookmarkStart w:id="12" w:name="_Toc134792409"/>
      <w:bookmarkStart w:id="13" w:name="_Toc502992691"/>
      <w:bookmarkStart w:id="14" w:name="_Toc134890444"/>
      <w:bookmarkStart w:id="15" w:name="_Toc444088432"/>
      <w:bookmarkStart w:id="16" w:name="_Toc445222503"/>
      <w:bookmarkStart w:id="17" w:name="_Toc445382083"/>
      <w:bookmarkStart w:id="18" w:name="_Toc444271617"/>
      <w:r>
        <w:rPr>
          <w:rFonts w:ascii="宋体" w:hAnsi="宋体"/>
          <w:b/>
          <w:bCs/>
          <w:snapToGrid w:val="0"/>
          <w:color w:val="auto"/>
          <w:kern w:val="0"/>
          <w:sz w:val="24"/>
          <w:highlight w:val="none"/>
        </w:rPr>
        <w:t>评标办法（</w:t>
      </w:r>
      <w:r>
        <w:rPr>
          <w:rFonts w:hint="eastAsia" w:ascii="宋体" w:hAnsi="宋体"/>
          <w:b/>
          <w:bCs/>
          <w:snapToGrid w:val="0"/>
          <w:color w:val="auto"/>
          <w:kern w:val="0"/>
          <w:sz w:val="24"/>
          <w:highlight w:val="none"/>
          <w:lang w:val="en-US" w:eastAsia="zh-CN"/>
        </w:rPr>
        <w:t>综合评估法</w:t>
      </w:r>
      <w:r>
        <w:rPr>
          <w:rFonts w:ascii="宋体" w:hAnsi="宋体"/>
          <w:b/>
          <w:bCs/>
          <w:snapToGrid w:val="0"/>
          <w:color w:val="auto"/>
          <w:kern w:val="0"/>
          <w:sz w:val="24"/>
          <w:highlight w:val="none"/>
        </w:rPr>
        <w:t>）</w:t>
      </w:r>
      <w:bookmarkEnd w:id="4"/>
      <w:bookmarkEnd w:id="5"/>
      <w:bookmarkEnd w:id="6"/>
      <w:bookmarkEnd w:id="7"/>
      <w:bookmarkEnd w:id="8"/>
      <w:bookmarkEnd w:id="9"/>
      <w:bookmarkEnd w:id="10"/>
      <w:bookmarkEnd w:id="11"/>
      <w:bookmarkEnd w:id="12"/>
      <w:bookmarkEnd w:id="13"/>
      <w:bookmarkEnd w:id="14"/>
    </w:p>
    <w:bookmarkEnd w:id="15"/>
    <w:bookmarkEnd w:id="16"/>
    <w:bookmarkEnd w:id="17"/>
    <w:bookmarkEnd w:id="18"/>
    <w:p w14:paraId="2CA0F3C3">
      <w:pPr>
        <w:adjustRightInd w:val="0"/>
        <w:snapToGrid w:val="0"/>
        <w:spacing w:line="360" w:lineRule="auto"/>
        <w:jc w:val="center"/>
        <w:textAlignment w:val="baseline"/>
        <w:rPr>
          <w:rFonts w:ascii="宋体" w:hAnsi="宋体"/>
          <w:b/>
          <w:bCs/>
          <w:snapToGrid w:val="0"/>
          <w:color w:val="auto"/>
          <w:kern w:val="0"/>
          <w:sz w:val="24"/>
          <w:highlight w:val="none"/>
        </w:rPr>
      </w:pPr>
      <w:r>
        <w:rPr>
          <w:rFonts w:hint="eastAsia" w:ascii="宋体" w:hAnsi="宋体"/>
          <w:b/>
          <w:bCs/>
          <w:snapToGrid w:val="0"/>
          <w:color w:val="auto"/>
          <w:kern w:val="0"/>
          <w:sz w:val="24"/>
          <w:highlight w:val="none"/>
        </w:rPr>
        <w:t>评标办法</w:t>
      </w:r>
      <w:r>
        <w:rPr>
          <w:rFonts w:ascii="宋体" w:hAnsi="宋体"/>
          <w:b/>
          <w:bCs/>
          <w:snapToGrid w:val="0"/>
          <w:color w:val="auto"/>
          <w:kern w:val="0"/>
          <w:sz w:val="24"/>
          <w:highlight w:val="none"/>
        </w:rPr>
        <w:t>前附表</w:t>
      </w:r>
    </w:p>
    <w:tbl>
      <w:tblPr>
        <w:tblStyle w:val="24"/>
        <w:tblW w:w="9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43"/>
        <w:gridCol w:w="1317"/>
        <w:gridCol w:w="7197"/>
      </w:tblGrid>
      <w:tr w14:paraId="3CBAC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19" w:hRule="atLeast"/>
          <w:tblHeader/>
          <w:jc w:val="center"/>
        </w:trPr>
        <w:tc>
          <w:tcPr>
            <w:tcW w:w="2460" w:type="dxa"/>
            <w:gridSpan w:val="2"/>
            <w:noWrap w:val="0"/>
            <w:vAlign w:val="center"/>
          </w:tcPr>
          <w:p w14:paraId="1AB01646">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7197" w:type="dxa"/>
            <w:noWrap w:val="0"/>
            <w:vAlign w:val="center"/>
          </w:tcPr>
          <w:p w14:paraId="557D50E6">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评审因素与标准</w:t>
            </w:r>
          </w:p>
        </w:tc>
      </w:tr>
      <w:tr w14:paraId="7D51F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677" w:hRule="atLeast"/>
          <w:jc w:val="center"/>
        </w:trPr>
        <w:tc>
          <w:tcPr>
            <w:tcW w:w="1143" w:type="dxa"/>
            <w:noWrap w:val="0"/>
            <w:vAlign w:val="center"/>
          </w:tcPr>
          <w:p w14:paraId="22B1B78B">
            <w:pPr>
              <w:snapToGrid w:val="0"/>
              <w:spacing w:line="240" w:lineRule="auto"/>
              <w:jc w:val="center"/>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1</w:t>
            </w:r>
          </w:p>
        </w:tc>
        <w:tc>
          <w:tcPr>
            <w:tcW w:w="1317" w:type="dxa"/>
            <w:noWrap w:val="0"/>
            <w:vAlign w:val="center"/>
          </w:tcPr>
          <w:p w14:paraId="3D37F061">
            <w:pPr>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评标办法</w:t>
            </w:r>
          </w:p>
        </w:tc>
        <w:tc>
          <w:tcPr>
            <w:tcW w:w="7197" w:type="dxa"/>
            <w:noWrap w:val="0"/>
            <w:vAlign w:val="center"/>
          </w:tcPr>
          <w:p w14:paraId="4F7C11E5">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评标采用综合评估法，评标委员会对满足招标文件实质性要求的投标文件，按照本章第2.2款规定的评分标准进行打分，并按综合得分由高到低顺序推荐1-3名中标候选人。当综合评分相等时，评标委员会依次按照以下优先顺序推荐中标候选人：</w:t>
            </w:r>
          </w:p>
          <w:p w14:paraId="18E708D9">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（1）评标价低的投标人优先；</w:t>
            </w:r>
          </w:p>
          <w:p w14:paraId="40CFD4A7">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（2）技术</w:t>
            </w:r>
            <w:r>
              <w:rPr>
                <w:rFonts w:hint="eastAsia" w:ascii="宋体" w:hAnsi="宋体" w:cs="宋体"/>
                <w:color w:val="auto"/>
                <w:sz w:val="24"/>
                <w:szCs w:val="24"/>
                <w:highlight w:val="none"/>
                <w:lang w:val="en-US" w:eastAsia="zh-CN"/>
              </w:rPr>
              <w:t>部分</w:t>
            </w:r>
            <w:r>
              <w:rPr>
                <w:rFonts w:hint="eastAsia" w:ascii="宋体" w:hAnsi="宋体" w:eastAsia="宋体" w:cs="宋体"/>
                <w:color w:val="auto"/>
                <w:sz w:val="24"/>
                <w:szCs w:val="24"/>
                <w:highlight w:val="none"/>
              </w:rPr>
              <w:t>得分较高的投标人优先；</w:t>
            </w:r>
          </w:p>
          <w:p w14:paraId="10D524F6">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（3）满足资格审查条件（业绩最低要求）的业绩累计合同金额高的优先。</w:t>
            </w:r>
          </w:p>
          <w:p w14:paraId="2DCAFDF1">
            <w:pPr>
              <w:snapToGrid w:val="0"/>
              <w:spacing w:line="240" w:lineRule="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注：本项目按照一标段、二标段的顺序逐一进行评审，如同一投标人同时参与两个标段的投标且得分均排名第一时，只推荐为一标段的第一中标候选人，二标段不再推选为中标候选人。</w:t>
            </w:r>
          </w:p>
        </w:tc>
      </w:tr>
      <w:tr w14:paraId="21517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20" w:hRule="atLeast"/>
          <w:jc w:val="center"/>
        </w:trPr>
        <w:tc>
          <w:tcPr>
            <w:tcW w:w="1143" w:type="dxa"/>
            <w:noWrap w:val="0"/>
            <w:vAlign w:val="center"/>
          </w:tcPr>
          <w:p w14:paraId="254FAA72">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w:t>
            </w:r>
          </w:p>
          <w:p w14:paraId="26161A09">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2.1.3</w:t>
            </w:r>
          </w:p>
        </w:tc>
        <w:tc>
          <w:tcPr>
            <w:tcW w:w="1317" w:type="dxa"/>
            <w:noWrap w:val="0"/>
            <w:vAlign w:val="center"/>
          </w:tcPr>
          <w:p w14:paraId="02D51D98">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形式评审与响应性评审标准</w:t>
            </w:r>
          </w:p>
        </w:tc>
        <w:tc>
          <w:tcPr>
            <w:tcW w:w="7197" w:type="dxa"/>
            <w:noWrap w:val="0"/>
            <w:vAlign w:val="center"/>
          </w:tcPr>
          <w:p w14:paraId="04242FD1">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（1）投标文件按照招标文件规定的格式、内容填写，字迹清晰可辨：</w:t>
            </w:r>
          </w:p>
          <w:p w14:paraId="34BF35DD">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a.投标函按照招标文件规定填报了招标人名称、项目名称</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补遗书编号（如有）、投标</w:t>
            </w:r>
            <w:r>
              <w:rPr>
                <w:rFonts w:hint="eastAsia" w:ascii="宋体" w:hAnsi="宋体" w:eastAsia="宋体" w:cs="宋体"/>
                <w:color w:val="auto"/>
                <w:sz w:val="24"/>
                <w:szCs w:val="24"/>
                <w:highlight w:val="none"/>
                <w:lang w:val="en-US" w:eastAsia="zh-CN"/>
              </w:rPr>
              <w:t>报价</w:t>
            </w:r>
            <w:r>
              <w:rPr>
                <w:rFonts w:hint="eastAsia" w:ascii="宋体" w:hAnsi="宋体" w:eastAsia="宋体" w:cs="宋体"/>
                <w:color w:val="auto"/>
                <w:sz w:val="24"/>
                <w:szCs w:val="24"/>
                <w:highlight w:val="none"/>
              </w:rPr>
              <w:t>（包括大写金额和小写金额）</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交货地点、交货期</w:t>
            </w:r>
            <w:r>
              <w:rPr>
                <w:rFonts w:hint="eastAsia" w:ascii="宋体" w:hAnsi="宋体" w:cs="宋体"/>
                <w:color w:val="auto"/>
                <w:sz w:val="24"/>
                <w:szCs w:val="24"/>
                <w:highlight w:val="none"/>
                <w:lang w:val="en-US" w:eastAsia="zh-CN"/>
              </w:rPr>
              <w:t>、质量标准和安全目标</w:t>
            </w:r>
            <w:r>
              <w:rPr>
                <w:rFonts w:hint="eastAsia" w:ascii="宋体" w:hAnsi="宋体" w:eastAsia="宋体" w:cs="宋体"/>
                <w:color w:val="auto"/>
                <w:sz w:val="24"/>
                <w:szCs w:val="24"/>
                <w:highlight w:val="none"/>
              </w:rPr>
              <w:t>；</w:t>
            </w:r>
          </w:p>
          <w:p w14:paraId="4578B7C5">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b.投标文件组成齐全完整，内容均按规定填写；</w:t>
            </w:r>
          </w:p>
          <w:p w14:paraId="6377A409">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（2）投标文件上法定代表人或其委托代理人的签字、投标人的单位章盖章齐全，符合招标文件规定：</w:t>
            </w:r>
          </w:p>
          <w:p w14:paraId="4005DC2F">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（3）投标人按照招标文件的规定提供了投标保证金，满足投标人须知3.4.1规定。</w:t>
            </w:r>
          </w:p>
          <w:p w14:paraId="47D5F173">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（4）投标人法定代表人授权委托代理人签署投标文件的，须提交授权委托书，授权委托书的签字盖章符合招标文件规定。</w:t>
            </w:r>
          </w:p>
          <w:p w14:paraId="1EC199CB">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（5）投标人法定代表人亲自签署投标文件的，提供了法定代表人身份证明,法定代表人身份证明的签字盖章符合招标文件规定。</w:t>
            </w:r>
          </w:p>
          <w:p w14:paraId="6BE93986">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（6）投标人未以联合体形式投标。</w:t>
            </w:r>
          </w:p>
          <w:p w14:paraId="50DBB74B">
            <w:pPr>
              <w:snapToGrid w:val="0"/>
              <w:spacing w:line="240" w:lineRule="auto"/>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（7）投标人未对本项目</w:t>
            </w:r>
            <w:r>
              <w:rPr>
                <w:rFonts w:hint="eastAsia" w:ascii="宋体" w:hAnsi="宋体" w:cs="宋体"/>
                <w:color w:val="auto"/>
                <w:sz w:val="24"/>
                <w:szCs w:val="24"/>
                <w:highlight w:val="none"/>
                <w:lang w:val="en-US" w:eastAsia="zh-CN"/>
              </w:rPr>
              <w:t>提出</w:t>
            </w:r>
            <w:r>
              <w:rPr>
                <w:rFonts w:hint="eastAsia" w:ascii="宋体" w:hAnsi="宋体" w:eastAsia="宋体" w:cs="宋体"/>
                <w:color w:val="auto"/>
                <w:sz w:val="24"/>
                <w:szCs w:val="24"/>
                <w:highlight w:val="none"/>
              </w:rPr>
              <w:t>分包</w:t>
            </w:r>
            <w:r>
              <w:rPr>
                <w:rFonts w:hint="eastAsia" w:ascii="宋体" w:hAnsi="宋体" w:cs="宋体"/>
                <w:color w:val="auto"/>
                <w:sz w:val="24"/>
                <w:szCs w:val="24"/>
                <w:highlight w:val="none"/>
                <w:lang w:val="en-US" w:eastAsia="zh-CN"/>
              </w:rPr>
              <w:t>计划</w:t>
            </w:r>
            <w:r>
              <w:rPr>
                <w:rFonts w:hint="eastAsia" w:ascii="宋体" w:hAnsi="宋体" w:eastAsia="宋体" w:cs="宋体"/>
                <w:color w:val="auto"/>
                <w:sz w:val="24"/>
                <w:szCs w:val="24"/>
                <w:highlight w:val="none"/>
              </w:rPr>
              <w:t>。</w:t>
            </w:r>
          </w:p>
          <w:p w14:paraId="22DB5B96">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（8）投标人未</w:t>
            </w:r>
            <w:r>
              <w:rPr>
                <w:rFonts w:hint="eastAsia" w:ascii="宋体" w:hAnsi="宋体" w:cs="宋体"/>
                <w:color w:val="auto"/>
                <w:sz w:val="24"/>
                <w:szCs w:val="24"/>
                <w:highlight w:val="none"/>
                <w:lang w:val="en-US" w:eastAsia="zh-CN"/>
              </w:rPr>
              <w:t>对同一标段</w:t>
            </w:r>
            <w:r>
              <w:rPr>
                <w:rFonts w:hint="eastAsia" w:ascii="宋体" w:hAnsi="宋体" w:eastAsia="宋体" w:cs="宋体"/>
                <w:color w:val="auto"/>
                <w:sz w:val="24"/>
                <w:szCs w:val="24"/>
                <w:highlight w:val="none"/>
              </w:rPr>
              <w:t>提交两个</w:t>
            </w:r>
            <w:r>
              <w:rPr>
                <w:rFonts w:hint="eastAsia" w:ascii="宋体" w:hAnsi="宋体" w:cs="宋体"/>
                <w:color w:val="auto"/>
                <w:sz w:val="24"/>
                <w:szCs w:val="24"/>
                <w:highlight w:val="none"/>
                <w:lang w:val="en-US" w:eastAsia="zh-CN"/>
              </w:rPr>
              <w:t>及</w:t>
            </w:r>
            <w:r>
              <w:rPr>
                <w:rFonts w:hint="eastAsia" w:ascii="宋体" w:hAnsi="宋体" w:eastAsia="宋体" w:cs="宋体"/>
                <w:color w:val="auto"/>
                <w:sz w:val="24"/>
                <w:szCs w:val="24"/>
                <w:highlight w:val="none"/>
              </w:rPr>
              <w:t>以上不同的投标文件。</w:t>
            </w:r>
          </w:p>
          <w:p w14:paraId="45178C68">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rPr>
              <w:t>）投标文件载明的招标项目完成期限未超过招标文件规定的时限。</w:t>
            </w:r>
          </w:p>
          <w:p w14:paraId="383B8E5A">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rPr>
              <w:t>）投标文件对招标文件的实质性要求和条件作出响应。</w:t>
            </w:r>
          </w:p>
          <w:p w14:paraId="23DCC3FD">
            <w:pPr>
              <w:snapToGrid w:val="0"/>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11</w:t>
            </w:r>
            <w:r>
              <w:rPr>
                <w:rFonts w:hint="eastAsia" w:ascii="宋体" w:hAnsi="宋体" w:eastAsia="宋体" w:cs="宋体"/>
                <w:color w:val="auto"/>
                <w:sz w:val="24"/>
                <w:szCs w:val="24"/>
                <w:highlight w:val="none"/>
              </w:rPr>
              <w:t>）投标文件中投标设备的主要技术指标满足招标文件</w:t>
            </w:r>
            <w:r>
              <w:rPr>
                <w:rFonts w:hint="eastAsia" w:ascii="宋体" w:hAnsi="宋体" w:cs="宋体"/>
                <w:color w:val="auto"/>
                <w:sz w:val="24"/>
                <w:szCs w:val="24"/>
                <w:highlight w:val="none"/>
                <w:lang w:val="en-US" w:eastAsia="zh-CN"/>
              </w:rPr>
              <w:t>第五章供货要求</w:t>
            </w:r>
            <w:r>
              <w:rPr>
                <w:rFonts w:hint="eastAsia" w:ascii="宋体" w:hAnsi="宋体" w:eastAsia="宋体" w:cs="宋体"/>
                <w:color w:val="auto"/>
                <w:sz w:val="24"/>
                <w:szCs w:val="24"/>
                <w:highlight w:val="none"/>
              </w:rPr>
              <w:t>的要求</w:t>
            </w:r>
            <w:r>
              <w:rPr>
                <w:rFonts w:hint="eastAsia" w:ascii="宋体" w:hAnsi="宋体" w:cs="宋体"/>
                <w:color w:val="auto"/>
                <w:sz w:val="24"/>
                <w:szCs w:val="24"/>
                <w:highlight w:val="none"/>
                <w:lang w:eastAsia="zh-CN"/>
              </w:rPr>
              <w:t>，其中带★条款须提供技术支持资料。</w:t>
            </w:r>
          </w:p>
          <w:p w14:paraId="74481A9E">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）权利义务符合招标文件规定：</w:t>
            </w:r>
          </w:p>
          <w:p w14:paraId="0C33DFDC">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a．投标人应接受招标文件规定的风险划分原则，未提出新的风险划分办法；</w:t>
            </w:r>
          </w:p>
          <w:p w14:paraId="0E7064E3">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b．投标人未增加发包人的责任范围，或减少投标人义务；</w:t>
            </w:r>
          </w:p>
          <w:p w14:paraId="02388977">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c．投标人未提出不同的验收、计量、支付办法；</w:t>
            </w:r>
          </w:p>
          <w:p w14:paraId="071809A6">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d．投标人对合同纠纷、事故处理办法未提出异议；</w:t>
            </w:r>
          </w:p>
          <w:p w14:paraId="37E8533F">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e．投标人在投标活动中无欺诈行为；</w:t>
            </w:r>
          </w:p>
          <w:p w14:paraId="7C520650">
            <w:pPr>
              <w:snapToGrid w:val="0"/>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f．投标人未对合同条款有重要保留</w:t>
            </w:r>
            <w:r>
              <w:rPr>
                <w:rFonts w:hint="eastAsia" w:ascii="宋体" w:hAnsi="宋体" w:cs="宋体"/>
                <w:color w:val="auto"/>
                <w:sz w:val="24"/>
                <w:szCs w:val="24"/>
                <w:highlight w:val="none"/>
                <w:lang w:eastAsia="zh-CN"/>
              </w:rPr>
              <w:t>。</w:t>
            </w:r>
          </w:p>
          <w:p w14:paraId="20CFA9F5">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13</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投标报价未超过招标文件设定的最高投标限价。</w:t>
            </w:r>
          </w:p>
          <w:p w14:paraId="611DADE8">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14</w:t>
            </w:r>
            <w:r>
              <w:rPr>
                <w:rFonts w:hint="eastAsia" w:ascii="宋体" w:hAnsi="宋体" w:eastAsia="宋体" w:cs="宋体"/>
                <w:color w:val="auto"/>
                <w:sz w:val="24"/>
                <w:szCs w:val="24"/>
                <w:highlight w:val="none"/>
              </w:rPr>
              <w:t>）投标报价的大写金额能够确定具体数值。</w:t>
            </w:r>
          </w:p>
          <w:p w14:paraId="32B3A480">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15</w:t>
            </w:r>
            <w:r>
              <w:rPr>
                <w:rFonts w:hint="eastAsia" w:ascii="宋体" w:hAnsi="宋体" w:eastAsia="宋体" w:cs="宋体"/>
                <w:color w:val="auto"/>
                <w:sz w:val="24"/>
                <w:szCs w:val="24"/>
                <w:highlight w:val="none"/>
              </w:rPr>
              <w:t>）投标人未提交两个</w:t>
            </w:r>
            <w:r>
              <w:rPr>
                <w:rFonts w:hint="eastAsia" w:ascii="宋体" w:hAnsi="宋体" w:cs="宋体"/>
                <w:color w:val="auto"/>
                <w:sz w:val="24"/>
                <w:szCs w:val="24"/>
                <w:highlight w:val="none"/>
                <w:lang w:val="en-US" w:eastAsia="zh-CN"/>
              </w:rPr>
              <w:t>及</w:t>
            </w:r>
            <w:r>
              <w:rPr>
                <w:rFonts w:hint="eastAsia" w:ascii="宋体" w:hAnsi="宋体" w:eastAsia="宋体" w:cs="宋体"/>
                <w:color w:val="auto"/>
                <w:sz w:val="24"/>
                <w:szCs w:val="24"/>
                <w:highlight w:val="none"/>
              </w:rPr>
              <w:t>以上不同的投标报价。</w:t>
            </w:r>
          </w:p>
          <w:p w14:paraId="1A0D9493">
            <w:pPr>
              <w:snapToGrid w:val="0"/>
              <w:spacing w:line="240" w:lineRule="auto"/>
              <w:rPr>
                <w:rFonts w:hint="default" w:eastAsia="宋体"/>
                <w:color w:val="auto"/>
                <w:highlight w:val="none"/>
                <w:lang w:val="en-US" w:eastAsia="zh-CN"/>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16</w:t>
            </w:r>
            <w:r>
              <w:rPr>
                <w:rFonts w:hint="eastAsia" w:ascii="宋体" w:hAnsi="宋体" w:eastAsia="宋体" w:cs="宋体"/>
                <w:color w:val="auto"/>
                <w:sz w:val="24"/>
                <w:szCs w:val="24"/>
                <w:highlight w:val="none"/>
              </w:rPr>
              <w:t>）</w:t>
            </w:r>
            <w:r>
              <w:rPr>
                <w:rFonts w:hint="eastAsia" w:ascii="宋体" w:hAnsi="宋体" w:cs="宋体"/>
                <w:strike w:val="0"/>
                <w:dstrike w:val="0"/>
                <w:color w:val="auto"/>
                <w:sz w:val="24"/>
                <w:szCs w:val="24"/>
                <w:highlight w:val="none"/>
                <w:lang w:val="en-US" w:eastAsia="zh-CN"/>
              </w:rPr>
              <w:t>投标报价表</w:t>
            </w:r>
            <w:r>
              <w:rPr>
                <w:rFonts w:hint="eastAsia" w:ascii="宋体" w:hAnsi="宋体" w:eastAsia="宋体" w:cs="宋体"/>
                <w:color w:val="auto"/>
                <w:sz w:val="24"/>
                <w:szCs w:val="24"/>
                <w:highlight w:val="none"/>
              </w:rPr>
              <w:t>中</w:t>
            </w:r>
            <w:r>
              <w:rPr>
                <w:rFonts w:hint="eastAsia" w:ascii="宋体" w:hAnsi="宋体" w:cs="宋体"/>
                <w:color w:val="auto"/>
                <w:sz w:val="24"/>
                <w:szCs w:val="24"/>
                <w:highlight w:val="none"/>
                <w:lang w:val="en-US" w:eastAsia="zh-CN"/>
              </w:rPr>
              <w:t>合计</w:t>
            </w:r>
            <w:r>
              <w:rPr>
                <w:rFonts w:hint="eastAsia" w:ascii="宋体" w:hAnsi="宋体" w:eastAsia="宋体" w:cs="宋体"/>
                <w:color w:val="auto"/>
                <w:sz w:val="24"/>
                <w:szCs w:val="24"/>
                <w:highlight w:val="none"/>
              </w:rPr>
              <w:t>金额与投标函</w:t>
            </w:r>
            <w:r>
              <w:rPr>
                <w:rFonts w:hint="eastAsia" w:ascii="宋体" w:hAnsi="宋体" w:cs="宋体"/>
                <w:color w:val="auto"/>
                <w:sz w:val="24"/>
                <w:szCs w:val="24"/>
                <w:highlight w:val="none"/>
                <w:lang w:val="en-US" w:eastAsia="zh-CN"/>
              </w:rPr>
              <w:t>报价</w:t>
            </w:r>
            <w:r>
              <w:rPr>
                <w:rFonts w:hint="eastAsia" w:ascii="宋体" w:hAnsi="宋体" w:eastAsia="宋体" w:cs="宋体"/>
                <w:color w:val="auto"/>
                <w:sz w:val="24"/>
                <w:szCs w:val="24"/>
                <w:highlight w:val="none"/>
              </w:rPr>
              <w:t>大写金额一致。</w:t>
            </w:r>
          </w:p>
        </w:tc>
      </w:tr>
      <w:tr w14:paraId="2D543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986" w:hRule="atLeast"/>
          <w:jc w:val="center"/>
        </w:trPr>
        <w:tc>
          <w:tcPr>
            <w:tcW w:w="1143" w:type="dxa"/>
            <w:noWrap w:val="0"/>
            <w:vAlign w:val="center"/>
          </w:tcPr>
          <w:p w14:paraId="2789D14B">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w:t>
            </w:r>
          </w:p>
        </w:tc>
        <w:tc>
          <w:tcPr>
            <w:tcW w:w="1317" w:type="dxa"/>
            <w:noWrap w:val="0"/>
            <w:vAlign w:val="center"/>
          </w:tcPr>
          <w:p w14:paraId="057141FB">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资格评审标准</w:t>
            </w:r>
          </w:p>
        </w:tc>
        <w:tc>
          <w:tcPr>
            <w:tcW w:w="7197" w:type="dxa"/>
            <w:noWrap w:val="0"/>
            <w:vAlign w:val="center"/>
          </w:tcPr>
          <w:p w14:paraId="37B0C77F">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（1）投标人具备有效的企业营业执照、组织机构代码证（三证合一或五证合一的除外）和基本账户开户许可证（或基本存款账户信息）；</w:t>
            </w:r>
          </w:p>
          <w:p w14:paraId="77B32309">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（2）投标人的资质符合招标文件规定；</w:t>
            </w:r>
          </w:p>
          <w:p w14:paraId="34AEA87F">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（3）投标人的类似项目业绩符合招标文件规定；</w:t>
            </w:r>
          </w:p>
          <w:p w14:paraId="2ABF4211">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（4）投标人的信誉符合招标文件规定；</w:t>
            </w:r>
          </w:p>
          <w:p w14:paraId="56321FA6">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（5）投标人不存在第二章“投标人须知”第1.4.3</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1.4.4</w:t>
            </w:r>
            <w:r>
              <w:rPr>
                <w:rFonts w:hint="eastAsia" w:ascii="宋体" w:hAnsi="宋体" w:eastAsia="宋体" w:cs="宋体"/>
                <w:color w:val="auto"/>
                <w:sz w:val="24"/>
                <w:szCs w:val="24"/>
                <w:highlight w:val="none"/>
              </w:rPr>
              <w:t>项规定的任何一种情形。</w:t>
            </w:r>
          </w:p>
          <w:p w14:paraId="1EECAD95">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）投标人名称与营业执照一致，如企业名称有变更的，应提供其变更记录或相关部门的合法批件复印件。</w:t>
            </w:r>
          </w:p>
        </w:tc>
      </w:tr>
      <w:tr w14:paraId="48FE4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43" w:type="dxa"/>
            <w:noWrap w:val="0"/>
            <w:vAlign w:val="center"/>
          </w:tcPr>
          <w:p w14:paraId="3DBF05CB">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1317" w:type="dxa"/>
            <w:noWrap w:val="0"/>
            <w:vAlign w:val="center"/>
          </w:tcPr>
          <w:p w14:paraId="4C93B717">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条款内容</w:t>
            </w:r>
          </w:p>
        </w:tc>
        <w:tc>
          <w:tcPr>
            <w:tcW w:w="7197" w:type="dxa"/>
            <w:noWrap w:val="0"/>
            <w:vAlign w:val="center"/>
          </w:tcPr>
          <w:p w14:paraId="0643B79B">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编列内容</w:t>
            </w:r>
          </w:p>
        </w:tc>
      </w:tr>
      <w:tr w14:paraId="58969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42" w:hRule="atLeast"/>
          <w:jc w:val="center"/>
        </w:trPr>
        <w:tc>
          <w:tcPr>
            <w:tcW w:w="1143" w:type="dxa"/>
            <w:noWrap w:val="0"/>
            <w:vAlign w:val="center"/>
          </w:tcPr>
          <w:p w14:paraId="67243BA0">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2.2.1</w:t>
            </w:r>
          </w:p>
        </w:tc>
        <w:tc>
          <w:tcPr>
            <w:tcW w:w="1317" w:type="dxa"/>
            <w:noWrap w:val="0"/>
            <w:vAlign w:val="center"/>
          </w:tcPr>
          <w:p w14:paraId="5F2490FD">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分值构成</w:t>
            </w:r>
          </w:p>
          <w:p w14:paraId="5D57AD7D">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（总分100分）</w:t>
            </w:r>
          </w:p>
        </w:tc>
        <w:tc>
          <w:tcPr>
            <w:tcW w:w="7197" w:type="dxa"/>
            <w:noWrap w:val="0"/>
            <w:vAlign w:val="center"/>
          </w:tcPr>
          <w:p w14:paraId="3B69F883">
            <w:pPr>
              <w:snapToGrid w:val="0"/>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商务部分：20分</w:t>
            </w:r>
          </w:p>
          <w:p w14:paraId="134D7654">
            <w:pPr>
              <w:snapToGrid w:val="0"/>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技术部分：</w:t>
            </w:r>
            <w:r>
              <w:rPr>
                <w:rFonts w:hint="eastAsia" w:ascii="宋体" w:hAnsi="宋体" w:cs="宋体"/>
                <w:color w:val="auto"/>
                <w:sz w:val="24"/>
                <w:szCs w:val="24"/>
                <w:highlight w:val="none"/>
                <w:lang w:val="en-US" w:eastAsia="zh-CN"/>
              </w:rPr>
              <w:t>30</w:t>
            </w:r>
            <w:r>
              <w:rPr>
                <w:rFonts w:hint="eastAsia" w:ascii="宋体" w:hAnsi="宋体" w:eastAsia="宋体" w:cs="宋体"/>
                <w:color w:val="auto"/>
                <w:sz w:val="24"/>
                <w:szCs w:val="24"/>
                <w:highlight w:val="none"/>
                <w:lang w:eastAsia="zh-CN"/>
              </w:rPr>
              <w:t>分</w:t>
            </w:r>
          </w:p>
          <w:p w14:paraId="267A18A1">
            <w:pPr>
              <w:snapToGrid w:val="0"/>
              <w:spacing w:line="24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投标报价：</w:t>
            </w:r>
            <w:r>
              <w:rPr>
                <w:rFonts w:hint="eastAsia" w:ascii="宋体" w:hAnsi="宋体" w:cs="宋体"/>
                <w:color w:val="auto"/>
                <w:sz w:val="24"/>
                <w:szCs w:val="24"/>
                <w:highlight w:val="none"/>
                <w:lang w:val="en-US" w:eastAsia="zh-CN"/>
              </w:rPr>
              <w:t>50</w:t>
            </w:r>
            <w:r>
              <w:rPr>
                <w:rFonts w:hint="eastAsia" w:ascii="宋体" w:hAnsi="宋体" w:eastAsia="宋体" w:cs="宋体"/>
                <w:color w:val="auto"/>
                <w:sz w:val="24"/>
                <w:szCs w:val="24"/>
                <w:highlight w:val="none"/>
                <w:lang w:eastAsia="zh-CN"/>
              </w:rPr>
              <w:t>分</w:t>
            </w:r>
          </w:p>
        </w:tc>
      </w:tr>
      <w:tr w14:paraId="4D487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2A1E34D9">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2.2.3</w:t>
            </w:r>
          </w:p>
        </w:tc>
        <w:tc>
          <w:tcPr>
            <w:tcW w:w="1317" w:type="dxa"/>
            <w:noWrap w:val="0"/>
            <w:vAlign w:val="center"/>
          </w:tcPr>
          <w:p w14:paraId="42260065">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详细评审标准</w:t>
            </w:r>
          </w:p>
        </w:tc>
        <w:tc>
          <w:tcPr>
            <w:tcW w:w="7197" w:type="dxa"/>
            <w:noWrap w:val="0"/>
            <w:vAlign w:val="center"/>
          </w:tcPr>
          <w:p w14:paraId="3DAF9EAF">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评标基准价的计算：</w:t>
            </w:r>
          </w:p>
          <w:p w14:paraId="4D2C7CF8">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1、评标价的确定：</w:t>
            </w:r>
          </w:p>
          <w:p w14:paraId="02A457D3">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评标价=投标函文字报价</w:t>
            </w:r>
          </w:p>
          <w:p w14:paraId="2518C131">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2、评标价平均值的计算：</w:t>
            </w:r>
          </w:p>
          <w:p w14:paraId="2FCF68EF">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根据第二章“投标人须知”第5.</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项规定在开标现场被宣布为不进入评标基准价计算的投标报价除外，</w:t>
            </w:r>
            <w:r>
              <w:rPr>
                <w:rFonts w:hint="eastAsia" w:ascii="宋体" w:hAnsi="宋体" w:eastAsia="宋体" w:cs="宋体"/>
                <w:color w:val="auto"/>
                <w:sz w:val="24"/>
                <w:szCs w:val="24"/>
                <w:highlight w:val="none"/>
              </w:rPr>
              <w:t>所有投标人的评标价去掉规定个数的最高值和最低值后的算术平均值即为评标价平均值。</w:t>
            </w:r>
          </w:p>
          <w:p w14:paraId="7CDA55F4">
            <w:pPr>
              <w:adjustRightInd w:val="0"/>
              <w:snapToGrid w:val="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a、如果参与评标价平均值计算的投标人数量＜6家时，计算评标价平均值时不去最高值和最低值。</w:t>
            </w:r>
          </w:p>
          <w:p w14:paraId="0368F0C2">
            <w:pPr>
              <w:adjustRightInd w:val="0"/>
              <w:snapToGrid w:val="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b、如果6家≤参与评标价平均值计算的投标人数量＜10家时，计算评标价平均值时去掉1个最高值和1个最低值。 </w:t>
            </w:r>
          </w:p>
          <w:p w14:paraId="3598AE90">
            <w:pPr>
              <w:adjustRightInd w:val="0"/>
              <w:snapToGrid w:val="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c、如果10家≤参与评标价平均值计算的投标人数量＜20家时，计算评标价平均值时去掉2个最高值和2个最低值； </w:t>
            </w:r>
          </w:p>
          <w:p w14:paraId="40F6B82B">
            <w:pPr>
              <w:adjustRightInd w:val="0"/>
              <w:snapToGrid w:val="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d、如果20家≤参与评标价平均值计算的投标人数量＜30家时，计算评标价平均值时去掉3个最高值和3个最低值； </w:t>
            </w:r>
          </w:p>
          <w:p w14:paraId="50C1D740">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e、如果30家≤参与评标价平均值计算的投标人数量时，计算评标价平均值时去掉5个最高值和5个最低值；</w:t>
            </w:r>
          </w:p>
          <w:p w14:paraId="4891E799">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3、评标基准价的确定：</w:t>
            </w:r>
          </w:p>
          <w:p w14:paraId="28546B12">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评标价平均值作为评标基准价。</w:t>
            </w:r>
          </w:p>
          <w:p w14:paraId="324D332C">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评标基准价保留小数点后两位，小数点后第三位四舍五入。</w:t>
            </w:r>
          </w:p>
        </w:tc>
      </w:tr>
      <w:tr w14:paraId="0CB1B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06F22AB0">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2.2.3</w:t>
            </w:r>
          </w:p>
        </w:tc>
        <w:tc>
          <w:tcPr>
            <w:tcW w:w="1317" w:type="dxa"/>
            <w:noWrap w:val="0"/>
            <w:vAlign w:val="center"/>
          </w:tcPr>
          <w:p w14:paraId="04A990DD">
            <w:pPr>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评标价的偏差率计算公式</w:t>
            </w:r>
          </w:p>
          <w:p w14:paraId="454989CC">
            <w:pPr>
              <w:snapToGrid w:val="0"/>
              <w:spacing w:line="240" w:lineRule="auto"/>
              <w:rPr>
                <w:rFonts w:hint="eastAsia" w:ascii="宋体" w:hAnsi="宋体" w:eastAsia="宋体" w:cs="宋体"/>
                <w:color w:val="auto"/>
                <w:sz w:val="24"/>
                <w:szCs w:val="24"/>
                <w:highlight w:val="none"/>
              </w:rPr>
            </w:pPr>
          </w:p>
        </w:tc>
        <w:tc>
          <w:tcPr>
            <w:tcW w:w="7197" w:type="dxa"/>
            <w:noWrap w:val="0"/>
            <w:vAlign w:val="center"/>
          </w:tcPr>
          <w:p w14:paraId="71C98EF6">
            <w:pPr>
              <w:snapToGrid w:val="0"/>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偏差率=100%×（投标人评标价-评标基准价）/评标基准价</w:t>
            </w:r>
          </w:p>
        </w:tc>
      </w:tr>
      <w:tr w14:paraId="39E7D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4D5E970A">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3.6.1</w:t>
            </w:r>
          </w:p>
        </w:tc>
        <w:tc>
          <w:tcPr>
            <w:tcW w:w="1317" w:type="dxa"/>
            <w:noWrap w:val="0"/>
            <w:vAlign w:val="center"/>
          </w:tcPr>
          <w:p w14:paraId="54B19B40">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信息查询</w:t>
            </w:r>
          </w:p>
        </w:tc>
        <w:tc>
          <w:tcPr>
            <w:tcW w:w="7197" w:type="dxa"/>
            <w:noWrap w:val="0"/>
            <w:vAlign w:val="center"/>
          </w:tcPr>
          <w:p w14:paraId="6FD586CE">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修改为：</w:t>
            </w:r>
          </w:p>
          <w:p w14:paraId="25489F91">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在评标过程中，评标委员会应对以下信息进行查询：</w:t>
            </w:r>
          </w:p>
          <w:p w14:paraId="642F407D">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（1）投标人信用情况网页截图内容与在“国家企业信用信息公示系统”中严重违法失信名单（黑名单）信息（不含分公司）或在“信用中国”网站“中失信被执行人、</w:t>
            </w:r>
            <w:r>
              <w:rPr>
                <w:rFonts w:hint="eastAsia" w:ascii="宋体" w:hAnsi="宋体" w:cs="宋体"/>
                <w:color w:val="auto"/>
                <w:sz w:val="24"/>
                <w:szCs w:val="24"/>
                <w:highlight w:val="none"/>
                <w:lang w:eastAsia="zh-CN"/>
              </w:rPr>
              <w:t>经营（活动）异常名录</w:t>
            </w:r>
            <w:r>
              <w:rPr>
                <w:rFonts w:hint="eastAsia" w:ascii="宋体" w:hAnsi="宋体" w:eastAsia="宋体" w:cs="宋体"/>
                <w:color w:val="auto"/>
                <w:sz w:val="24"/>
                <w:szCs w:val="24"/>
                <w:highlight w:val="none"/>
              </w:rPr>
              <w:t>、重大税收违法失信主体、</w:t>
            </w:r>
            <w:r>
              <w:rPr>
                <w:rFonts w:hint="eastAsia" w:ascii="宋体" w:hAnsi="宋体" w:eastAsia="宋体" w:cs="宋体"/>
                <w:color w:val="auto"/>
                <w:sz w:val="24"/>
                <w:szCs w:val="24"/>
                <w:highlight w:val="none"/>
                <w:lang w:eastAsia="zh-CN"/>
              </w:rPr>
              <w:t>政府采购严重违法失信行为记录名单和安全生产严重失信主体名单</w:t>
            </w:r>
            <w:r>
              <w:rPr>
                <w:rFonts w:hint="eastAsia" w:ascii="宋体" w:hAnsi="宋体" w:eastAsia="宋体" w:cs="宋体"/>
                <w:color w:val="auto"/>
                <w:sz w:val="24"/>
                <w:szCs w:val="24"/>
                <w:highlight w:val="none"/>
              </w:rPr>
              <w:t>（均不含分公司）的复核结果一致。</w:t>
            </w:r>
          </w:p>
          <w:p w14:paraId="5B5471DB">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如投标人未提供相关网页截图或所附截图与复核结果不一致导致不能满足资格评审要求的，评标委员会应否决其投标。</w:t>
            </w:r>
          </w:p>
          <w:p w14:paraId="265A9650">
            <w:pPr>
              <w:autoSpaceDE w:val="0"/>
              <w:autoSpaceDN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评标委员会在评标时按照投标人提供的验证方式对电子保函或电子保证保险进行验证。如投标人未提供电子保函或电子保证保险的验证方式，或根据提供的验证方式无法核实或经核实与投标文件所附资料不一致的，评标委员会应否决其投标。</w:t>
            </w:r>
          </w:p>
        </w:tc>
      </w:tr>
    </w:tbl>
    <w:p w14:paraId="39B8813F">
      <w:pPr>
        <w:adjustRightInd w:val="0"/>
        <w:snapToGrid w:val="0"/>
        <w:spacing w:line="360" w:lineRule="auto"/>
        <w:textAlignment w:val="baseline"/>
        <w:rPr>
          <w:rFonts w:ascii="宋体" w:hAnsi="宋体"/>
          <w:b/>
          <w:bCs/>
          <w:snapToGrid w:val="0"/>
          <w:color w:val="auto"/>
          <w:kern w:val="0"/>
          <w:sz w:val="28"/>
          <w:szCs w:val="24"/>
          <w:highlight w:val="none"/>
        </w:rPr>
      </w:pPr>
      <w:r>
        <w:rPr>
          <w:rFonts w:hint="eastAsia" w:ascii="宋体" w:hAnsi="宋体"/>
          <w:b/>
          <w:bCs/>
          <w:snapToGrid w:val="0"/>
          <w:color w:val="auto"/>
          <w:kern w:val="0"/>
          <w:sz w:val="28"/>
          <w:szCs w:val="24"/>
          <w:highlight w:val="none"/>
        </w:rPr>
        <w:br w:type="page"/>
      </w:r>
      <w:r>
        <w:rPr>
          <w:rFonts w:hint="eastAsia" w:ascii="宋体" w:hAnsi="宋体"/>
          <w:b/>
          <w:bCs/>
          <w:snapToGrid w:val="0"/>
          <w:color w:val="auto"/>
          <w:kern w:val="0"/>
          <w:sz w:val="28"/>
          <w:szCs w:val="24"/>
          <w:highlight w:val="none"/>
        </w:rPr>
        <w:t>评分标准</w:t>
      </w:r>
    </w:p>
    <w:tbl>
      <w:tblPr>
        <w:tblStyle w:val="24"/>
        <w:tblpPr w:leftFromText="180" w:rightFromText="180" w:vertAnchor="text" w:tblpXSpec="center" w:tblpY="1"/>
        <w:tblOverlap w:val="never"/>
        <w:tblW w:w="93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186"/>
        <w:gridCol w:w="2216"/>
        <w:gridCol w:w="894"/>
        <w:gridCol w:w="4119"/>
      </w:tblGrid>
      <w:tr w14:paraId="4A491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9" w:type="dxa"/>
            <w:noWrap w:val="0"/>
            <w:vAlign w:val="center"/>
          </w:tcPr>
          <w:p w14:paraId="323ABBE9">
            <w:pPr>
              <w:pStyle w:val="16"/>
              <w:jc w:val="center"/>
              <w:textAlignment w:val="baseline"/>
              <w:rPr>
                <w:rFonts w:hint="eastAsia" w:hAnsi="宋体" w:cs="宋体"/>
                <w:color w:val="auto"/>
                <w:kern w:val="0"/>
                <w:sz w:val="24"/>
                <w:szCs w:val="24"/>
                <w:highlight w:val="none"/>
              </w:rPr>
            </w:pPr>
            <w:r>
              <w:rPr>
                <w:rFonts w:hint="eastAsia" w:hAnsi="宋体" w:cs="宋体"/>
                <w:color w:val="auto"/>
                <w:sz w:val="24"/>
                <w:szCs w:val="24"/>
                <w:highlight w:val="none"/>
              </w:rPr>
              <w:t>条款号</w:t>
            </w:r>
          </w:p>
        </w:tc>
        <w:tc>
          <w:tcPr>
            <w:tcW w:w="1186" w:type="dxa"/>
            <w:noWrap w:val="0"/>
            <w:vAlign w:val="center"/>
          </w:tcPr>
          <w:p w14:paraId="16F4AEA2">
            <w:pPr>
              <w:pStyle w:val="16"/>
              <w:jc w:val="center"/>
              <w:textAlignment w:val="baseline"/>
              <w:rPr>
                <w:rFonts w:hAnsi="宋体" w:cs="宋体"/>
                <w:color w:val="auto"/>
                <w:sz w:val="24"/>
                <w:szCs w:val="24"/>
                <w:highlight w:val="none"/>
              </w:rPr>
            </w:pPr>
            <w:r>
              <w:rPr>
                <w:rFonts w:hint="eastAsia" w:hAnsi="宋体" w:cs="宋体"/>
                <w:color w:val="auto"/>
                <w:sz w:val="24"/>
                <w:szCs w:val="24"/>
                <w:highlight w:val="none"/>
              </w:rPr>
              <w:t>评分</w:t>
            </w:r>
          </w:p>
          <w:p w14:paraId="77F91947">
            <w:pPr>
              <w:pStyle w:val="16"/>
              <w:jc w:val="center"/>
              <w:textAlignment w:val="baseline"/>
              <w:rPr>
                <w:rFonts w:hint="eastAsia" w:hAnsi="宋体" w:cs="宋体"/>
                <w:color w:val="auto"/>
                <w:sz w:val="24"/>
                <w:szCs w:val="24"/>
                <w:highlight w:val="none"/>
              </w:rPr>
            </w:pPr>
            <w:r>
              <w:rPr>
                <w:rFonts w:hint="eastAsia" w:hAnsi="宋体" w:cs="宋体"/>
                <w:color w:val="auto"/>
                <w:sz w:val="24"/>
                <w:szCs w:val="24"/>
                <w:highlight w:val="none"/>
              </w:rPr>
              <w:t>因素</w:t>
            </w:r>
          </w:p>
        </w:tc>
        <w:tc>
          <w:tcPr>
            <w:tcW w:w="2216" w:type="dxa"/>
            <w:noWrap w:val="0"/>
            <w:vAlign w:val="center"/>
          </w:tcPr>
          <w:p w14:paraId="10244FF0">
            <w:pPr>
              <w:adjustRightInd w:val="0"/>
              <w:snapToGrid w:val="0"/>
              <w:jc w:val="center"/>
              <w:rPr>
                <w:rFonts w:hint="eastAsia" w:ascii="宋体" w:hAnsi="宋体" w:eastAsia="宋体" w:cs="宋体"/>
                <w:color w:val="auto"/>
                <w:sz w:val="24"/>
                <w:szCs w:val="24"/>
                <w:highlight w:val="none"/>
                <w:u w:val="single"/>
                <w:lang w:val="en-US" w:eastAsia="zh-CN"/>
              </w:rPr>
            </w:pPr>
            <w:r>
              <w:rPr>
                <w:rFonts w:hint="eastAsia" w:ascii="宋体" w:hAnsi="宋体" w:cs="宋体"/>
                <w:color w:val="auto"/>
                <w:sz w:val="24"/>
                <w:szCs w:val="24"/>
                <w:highlight w:val="none"/>
              </w:rPr>
              <w:t>评分因素</w:t>
            </w:r>
            <w:r>
              <w:rPr>
                <w:rFonts w:hint="eastAsia" w:ascii="宋体" w:hAnsi="宋体" w:cs="宋体"/>
                <w:color w:val="auto"/>
                <w:sz w:val="24"/>
                <w:szCs w:val="24"/>
                <w:highlight w:val="none"/>
                <w:lang w:val="en-US" w:eastAsia="zh-CN"/>
              </w:rPr>
              <w:t>细项</w:t>
            </w:r>
          </w:p>
        </w:tc>
        <w:tc>
          <w:tcPr>
            <w:tcW w:w="894" w:type="dxa"/>
            <w:noWrap w:val="0"/>
            <w:vAlign w:val="center"/>
          </w:tcPr>
          <w:p w14:paraId="146D7505">
            <w:pPr>
              <w:jc w:val="center"/>
              <w:rPr>
                <w:rFonts w:ascii="宋体" w:hAnsi="宋体" w:cs="宋体"/>
                <w:color w:val="auto"/>
                <w:sz w:val="24"/>
                <w:szCs w:val="24"/>
                <w:highlight w:val="none"/>
              </w:rPr>
            </w:pPr>
            <w:r>
              <w:rPr>
                <w:rFonts w:ascii="宋体" w:hAnsi="宋体" w:cs="宋体"/>
                <w:color w:val="auto"/>
                <w:spacing w:val="-3"/>
                <w:sz w:val="24"/>
                <w:szCs w:val="24"/>
                <w:highlight w:val="none"/>
              </w:rPr>
              <w:t>分</w:t>
            </w:r>
            <w:r>
              <w:rPr>
                <w:rFonts w:ascii="宋体" w:hAnsi="宋体" w:cs="宋体"/>
                <w:color w:val="auto"/>
                <w:spacing w:val="-2"/>
                <w:sz w:val="24"/>
                <w:szCs w:val="24"/>
                <w:highlight w:val="none"/>
              </w:rPr>
              <w:t>值</w:t>
            </w:r>
          </w:p>
        </w:tc>
        <w:tc>
          <w:tcPr>
            <w:tcW w:w="4119" w:type="dxa"/>
            <w:noWrap w:val="0"/>
            <w:vAlign w:val="center"/>
          </w:tcPr>
          <w:p w14:paraId="46C84A1A">
            <w:pPr>
              <w:jc w:val="center"/>
              <w:rPr>
                <w:rFonts w:ascii="宋体" w:hAnsi="宋体" w:cs="宋体"/>
                <w:color w:val="auto"/>
                <w:spacing w:val="-3"/>
                <w:sz w:val="24"/>
                <w:szCs w:val="24"/>
                <w:highlight w:val="none"/>
              </w:rPr>
            </w:pPr>
            <w:r>
              <w:rPr>
                <w:rFonts w:ascii="宋体" w:hAnsi="宋体" w:cs="宋体"/>
                <w:color w:val="auto"/>
                <w:spacing w:val="-1"/>
                <w:sz w:val="24"/>
                <w:szCs w:val="24"/>
                <w:highlight w:val="none"/>
              </w:rPr>
              <w:t>评分</w:t>
            </w:r>
            <w:r>
              <w:rPr>
                <w:rFonts w:ascii="宋体" w:hAnsi="宋体" w:cs="宋体"/>
                <w:color w:val="auto"/>
                <w:sz w:val="24"/>
                <w:szCs w:val="24"/>
                <w:highlight w:val="none"/>
              </w:rPr>
              <w:t>标准</w:t>
            </w:r>
          </w:p>
        </w:tc>
      </w:tr>
      <w:tr w14:paraId="37ADF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959" w:type="dxa"/>
            <w:vMerge w:val="restart"/>
            <w:noWrap w:val="0"/>
            <w:vAlign w:val="center"/>
          </w:tcPr>
          <w:p w14:paraId="2AEF781C">
            <w:pPr>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2.2.</w:t>
            </w:r>
            <w:r>
              <w:rPr>
                <w:rFonts w:hint="eastAsia" w:ascii="宋体" w:hAnsi="宋体" w:cs="宋体"/>
                <w:color w:val="auto"/>
                <w:kern w:val="0"/>
                <w:sz w:val="24"/>
                <w:szCs w:val="24"/>
                <w:highlight w:val="none"/>
                <w:lang w:val="en-US" w:eastAsia="zh-CN"/>
              </w:rPr>
              <w:t>1</w:t>
            </w:r>
          </w:p>
          <w:p w14:paraId="59FC8A5A">
            <w:pPr>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(1)</w:t>
            </w:r>
          </w:p>
        </w:tc>
        <w:tc>
          <w:tcPr>
            <w:tcW w:w="1186" w:type="dxa"/>
            <w:vMerge w:val="restart"/>
            <w:noWrap w:val="0"/>
            <w:vAlign w:val="center"/>
          </w:tcPr>
          <w:p w14:paraId="6D70EE67">
            <w:pPr>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商务部分</w:t>
            </w:r>
          </w:p>
        </w:tc>
        <w:tc>
          <w:tcPr>
            <w:tcW w:w="2216" w:type="dxa"/>
            <w:vMerge w:val="restart"/>
            <w:noWrap w:val="0"/>
            <w:vAlign w:val="center"/>
          </w:tcPr>
          <w:p w14:paraId="7D28663F">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业绩</w:t>
            </w:r>
          </w:p>
        </w:tc>
        <w:tc>
          <w:tcPr>
            <w:tcW w:w="894" w:type="dxa"/>
            <w:vMerge w:val="restart"/>
            <w:noWrap w:val="0"/>
            <w:vAlign w:val="center"/>
          </w:tcPr>
          <w:p w14:paraId="2E5D23F4">
            <w:pPr>
              <w:jc w:val="center"/>
              <w:rPr>
                <w:rFonts w:ascii="宋体" w:hAnsi="宋体" w:cs="宋体"/>
                <w:color w:val="auto"/>
                <w:sz w:val="24"/>
                <w:szCs w:val="24"/>
                <w:highlight w:val="none"/>
              </w:rPr>
            </w:pPr>
            <w:r>
              <w:rPr>
                <w:rFonts w:hint="eastAsia" w:ascii="宋体" w:hAnsi="宋体" w:cs="宋体"/>
                <w:color w:val="auto"/>
                <w:kern w:val="0"/>
                <w:sz w:val="24"/>
                <w:szCs w:val="24"/>
                <w:highlight w:val="none"/>
                <w:lang w:val="en-US" w:eastAsia="zh-CN"/>
              </w:rPr>
              <w:t>20</w:t>
            </w:r>
            <w:r>
              <w:rPr>
                <w:rFonts w:hint="eastAsia" w:ascii="宋体" w:hAnsi="宋体" w:cs="宋体"/>
                <w:color w:val="auto"/>
                <w:kern w:val="0"/>
                <w:sz w:val="24"/>
                <w:szCs w:val="24"/>
                <w:highlight w:val="none"/>
              </w:rPr>
              <w:t>分</w:t>
            </w:r>
          </w:p>
        </w:tc>
        <w:tc>
          <w:tcPr>
            <w:tcW w:w="4119" w:type="dxa"/>
            <w:noWrap w:val="0"/>
            <w:vAlign w:val="center"/>
          </w:tcPr>
          <w:p w14:paraId="2583726D">
            <w:pPr>
              <w:ind w:right="113"/>
              <w:rPr>
                <w:rFonts w:hint="eastAsia" w:ascii="宋体" w:hAnsi="宋体" w:cs="宋体"/>
                <w:color w:val="auto"/>
                <w:sz w:val="24"/>
                <w:szCs w:val="24"/>
                <w:highlight w:val="none"/>
              </w:rPr>
            </w:pPr>
            <w:r>
              <w:rPr>
                <w:rFonts w:hint="eastAsia" w:ascii="宋体" w:hAnsi="宋体" w:cs="宋体"/>
                <w:color w:val="auto"/>
                <w:sz w:val="24"/>
                <w:szCs w:val="24"/>
                <w:highlight w:val="none"/>
              </w:rPr>
              <w:t>满足资格审查条件(业绩最低要求)得</w:t>
            </w:r>
            <w:r>
              <w:rPr>
                <w:rFonts w:hint="eastAsia" w:ascii="宋体" w:hAnsi="宋体" w:cs="宋体"/>
                <w:color w:val="auto"/>
                <w:sz w:val="24"/>
                <w:szCs w:val="24"/>
                <w:highlight w:val="none"/>
                <w:lang w:val="en-US" w:eastAsia="zh-CN"/>
              </w:rPr>
              <w:t>12</w:t>
            </w:r>
            <w:r>
              <w:rPr>
                <w:rFonts w:hint="eastAsia" w:ascii="宋体" w:hAnsi="宋体" w:cs="宋体"/>
                <w:color w:val="auto"/>
                <w:sz w:val="24"/>
                <w:szCs w:val="24"/>
                <w:highlight w:val="none"/>
              </w:rPr>
              <w:t>分；</w:t>
            </w:r>
          </w:p>
        </w:tc>
      </w:tr>
      <w:tr w14:paraId="4E5D1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959" w:type="dxa"/>
            <w:vMerge w:val="continue"/>
            <w:noWrap w:val="0"/>
            <w:vAlign w:val="center"/>
          </w:tcPr>
          <w:p w14:paraId="4837FAAD">
            <w:pPr>
              <w:jc w:val="center"/>
              <w:rPr>
                <w:rFonts w:hint="eastAsia" w:ascii="宋体" w:hAnsi="宋体" w:cs="宋体"/>
                <w:color w:val="auto"/>
                <w:kern w:val="0"/>
                <w:sz w:val="24"/>
                <w:szCs w:val="24"/>
                <w:highlight w:val="none"/>
              </w:rPr>
            </w:pPr>
          </w:p>
        </w:tc>
        <w:tc>
          <w:tcPr>
            <w:tcW w:w="1186" w:type="dxa"/>
            <w:vMerge w:val="continue"/>
            <w:noWrap w:val="0"/>
            <w:vAlign w:val="center"/>
          </w:tcPr>
          <w:p w14:paraId="7780F730">
            <w:pPr>
              <w:jc w:val="center"/>
              <w:rPr>
                <w:rFonts w:hint="eastAsia" w:ascii="宋体" w:hAnsi="宋体" w:cs="宋体"/>
                <w:color w:val="auto"/>
                <w:kern w:val="0"/>
                <w:sz w:val="24"/>
                <w:szCs w:val="24"/>
                <w:highlight w:val="none"/>
              </w:rPr>
            </w:pPr>
          </w:p>
        </w:tc>
        <w:tc>
          <w:tcPr>
            <w:tcW w:w="2216" w:type="dxa"/>
            <w:vMerge w:val="continue"/>
            <w:noWrap w:val="0"/>
            <w:vAlign w:val="center"/>
          </w:tcPr>
          <w:p w14:paraId="2AE848F0">
            <w:pPr>
              <w:adjustRightInd w:val="0"/>
              <w:snapToGrid w:val="0"/>
              <w:jc w:val="center"/>
              <w:rPr>
                <w:rFonts w:hint="eastAsia" w:ascii="宋体" w:hAnsi="宋体" w:eastAsia="宋体" w:cs="宋体"/>
                <w:color w:val="auto"/>
                <w:sz w:val="24"/>
                <w:szCs w:val="24"/>
                <w:highlight w:val="none"/>
              </w:rPr>
            </w:pPr>
          </w:p>
        </w:tc>
        <w:tc>
          <w:tcPr>
            <w:tcW w:w="894" w:type="dxa"/>
            <w:vMerge w:val="continue"/>
            <w:noWrap w:val="0"/>
            <w:vAlign w:val="center"/>
          </w:tcPr>
          <w:p w14:paraId="27A77E1B">
            <w:pPr>
              <w:jc w:val="center"/>
              <w:rPr>
                <w:rFonts w:hint="eastAsia" w:ascii="宋体" w:hAnsi="宋体" w:cs="宋体"/>
                <w:color w:val="auto"/>
                <w:kern w:val="0"/>
                <w:sz w:val="24"/>
                <w:szCs w:val="24"/>
                <w:highlight w:val="none"/>
              </w:rPr>
            </w:pPr>
          </w:p>
        </w:tc>
        <w:tc>
          <w:tcPr>
            <w:tcW w:w="4119" w:type="dxa"/>
            <w:noWrap w:val="0"/>
            <w:vAlign w:val="center"/>
          </w:tcPr>
          <w:p w14:paraId="62B379F0">
            <w:pPr>
              <w:snapToGrid w:val="0"/>
              <w:spacing w:line="320" w:lineRule="exact"/>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在满足资格审查条件（业绩最低要求）的的基础上，每增加一套设备供货业绩加2分，最多加8分。</w:t>
            </w:r>
          </w:p>
        </w:tc>
      </w:tr>
      <w:tr w14:paraId="06556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9" w:type="dxa"/>
            <w:vMerge w:val="restart"/>
            <w:noWrap w:val="0"/>
            <w:vAlign w:val="center"/>
          </w:tcPr>
          <w:p w14:paraId="72AEAC94">
            <w:pPr>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2.2.</w:t>
            </w:r>
            <w:r>
              <w:rPr>
                <w:rFonts w:hint="eastAsia" w:ascii="宋体" w:hAnsi="宋体" w:cs="宋体"/>
                <w:color w:val="auto"/>
                <w:kern w:val="0"/>
                <w:sz w:val="24"/>
                <w:szCs w:val="24"/>
                <w:highlight w:val="none"/>
                <w:lang w:val="en-US" w:eastAsia="zh-CN"/>
              </w:rPr>
              <w:t>1</w:t>
            </w:r>
          </w:p>
          <w:p w14:paraId="06A7BA5B">
            <w:pPr>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(2)</w:t>
            </w:r>
          </w:p>
        </w:tc>
        <w:tc>
          <w:tcPr>
            <w:tcW w:w="1186" w:type="dxa"/>
            <w:vMerge w:val="restart"/>
            <w:noWrap w:val="0"/>
            <w:vAlign w:val="center"/>
          </w:tcPr>
          <w:p w14:paraId="666756FC">
            <w:pPr>
              <w:pStyle w:val="2"/>
              <w:rPr>
                <w:rFonts w:hint="eastAsia"/>
                <w:color w:val="auto"/>
                <w:highlight w:val="none"/>
                <w:lang w:eastAsia="zh-CN"/>
              </w:rPr>
            </w:pPr>
            <w:r>
              <w:rPr>
                <w:rFonts w:hint="eastAsia" w:cs="宋体"/>
                <w:color w:val="auto"/>
                <w:kern w:val="0"/>
                <w:sz w:val="24"/>
                <w:szCs w:val="24"/>
                <w:highlight w:val="none"/>
                <w:lang w:val="en-US" w:eastAsia="zh-CN"/>
              </w:rPr>
              <w:t>技术部分</w:t>
            </w:r>
          </w:p>
        </w:tc>
        <w:tc>
          <w:tcPr>
            <w:tcW w:w="2216" w:type="dxa"/>
            <w:vMerge w:val="restart"/>
            <w:noWrap w:val="0"/>
            <w:vAlign w:val="center"/>
          </w:tcPr>
          <w:p w14:paraId="142A383E">
            <w:pPr>
              <w:adjustRightInd w:val="0"/>
              <w:snapToGrid w:val="0"/>
              <w:jc w:val="center"/>
              <w:rPr>
                <w:rFonts w:hint="default" w:ascii="宋体" w:hAnsi="宋体" w:eastAsia="宋体" w:cs="宋体"/>
                <w:color w:val="auto"/>
                <w:sz w:val="24"/>
                <w:szCs w:val="24"/>
                <w:highlight w:val="none"/>
                <w:lang w:val="en-US" w:eastAsia="zh-CN"/>
              </w:rPr>
            </w:pPr>
            <w:r>
              <w:rPr>
                <w:rFonts w:hint="eastAsia" w:ascii="宋体" w:hAnsi="宋体" w:cs="宋体"/>
                <w:color w:val="auto"/>
                <w:spacing w:val="12"/>
                <w:sz w:val="24"/>
                <w:szCs w:val="24"/>
                <w:highlight w:val="none"/>
                <w:lang w:val="en-US" w:eastAsia="zh-CN"/>
              </w:rPr>
              <w:t>设备</w:t>
            </w:r>
            <w:r>
              <w:rPr>
                <w:rFonts w:hint="eastAsia" w:ascii="宋体" w:hAnsi="宋体" w:eastAsia="宋体" w:cs="宋体"/>
                <w:color w:val="auto"/>
                <w:spacing w:val="12"/>
                <w:sz w:val="24"/>
                <w:szCs w:val="24"/>
                <w:highlight w:val="none"/>
                <w:lang w:eastAsia="zh-CN"/>
              </w:rPr>
              <w:t>综合能力评价</w:t>
            </w:r>
          </w:p>
        </w:tc>
        <w:tc>
          <w:tcPr>
            <w:tcW w:w="894" w:type="dxa"/>
            <w:vMerge w:val="restart"/>
            <w:noWrap w:val="0"/>
            <w:vAlign w:val="center"/>
          </w:tcPr>
          <w:p w14:paraId="7F4742B6">
            <w:pPr>
              <w:jc w:val="center"/>
              <w:rPr>
                <w:rFonts w:ascii="宋体" w:hAnsi="宋体" w:cs="宋体"/>
                <w:color w:val="auto"/>
                <w:sz w:val="24"/>
                <w:szCs w:val="24"/>
                <w:highlight w:val="none"/>
              </w:rPr>
            </w:pPr>
            <w:r>
              <w:rPr>
                <w:rFonts w:hint="eastAsia" w:ascii="宋体" w:hAnsi="宋体" w:cs="宋体"/>
                <w:color w:val="auto"/>
                <w:kern w:val="0"/>
                <w:sz w:val="24"/>
                <w:szCs w:val="24"/>
                <w:highlight w:val="none"/>
                <w:lang w:val="en-US" w:eastAsia="zh-CN"/>
              </w:rPr>
              <w:t>10</w:t>
            </w:r>
            <w:r>
              <w:rPr>
                <w:rFonts w:hint="eastAsia" w:ascii="宋体" w:hAnsi="宋体" w:cs="宋体"/>
                <w:color w:val="auto"/>
                <w:kern w:val="0"/>
                <w:sz w:val="24"/>
                <w:szCs w:val="24"/>
                <w:highlight w:val="none"/>
              </w:rPr>
              <w:t>分</w:t>
            </w:r>
          </w:p>
        </w:tc>
        <w:tc>
          <w:tcPr>
            <w:tcW w:w="4119" w:type="dxa"/>
            <w:noWrap w:val="0"/>
            <w:vAlign w:val="center"/>
          </w:tcPr>
          <w:p w14:paraId="5CF691D8">
            <w:pPr>
              <w:jc w:val="both"/>
              <w:rPr>
                <w:rFonts w:hint="eastAsia" w:ascii="宋体" w:hAnsi="宋体" w:cs="宋体"/>
                <w:color w:val="auto"/>
                <w:sz w:val="24"/>
                <w:szCs w:val="24"/>
                <w:highlight w:val="none"/>
              </w:rPr>
            </w:pPr>
            <w:r>
              <w:rPr>
                <w:rFonts w:hint="eastAsia" w:ascii="宋体" w:hAnsi="宋体" w:eastAsia="宋体" w:cs="宋体"/>
                <w:color w:val="auto"/>
                <w:spacing w:val="12"/>
                <w:sz w:val="24"/>
                <w:szCs w:val="24"/>
                <w:highlight w:val="none"/>
                <w:lang w:eastAsia="zh-CN"/>
              </w:rPr>
              <w:t>质保期限长、故障响应时间短，投标人综合能力强，能很好满足招标文件要求</w:t>
            </w:r>
            <w:r>
              <w:rPr>
                <w:rFonts w:hint="eastAsia" w:ascii="宋体" w:hAnsi="宋体" w:eastAsia="宋体" w:cs="宋体"/>
                <w:color w:val="auto"/>
                <w:spacing w:val="12"/>
                <w:sz w:val="24"/>
                <w:szCs w:val="24"/>
                <w:highlight w:val="none"/>
                <w:lang w:val="en-US" w:eastAsia="zh-CN"/>
              </w:rPr>
              <w:t>得</w:t>
            </w:r>
            <w:r>
              <w:rPr>
                <w:rFonts w:hint="eastAsia" w:ascii="宋体" w:hAnsi="宋体" w:cs="宋体"/>
                <w:color w:val="auto"/>
                <w:spacing w:val="12"/>
                <w:sz w:val="24"/>
                <w:szCs w:val="24"/>
                <w:highlight w:val="none"/>
                <w:lang w:val="en-US" w:eastAsia="zh-CN"/>
              </w:rPr>
              <w:t>8</w:t>
            </w:r>
            <w:r>
              <w:rPr>
                <w:rFonts w:hint="eastAsia" w:ascii="宋体" w:hAnsi="宋体" w:eastAsia="宋体" w:cs="宋体"/>
                <w:color w:val="auto"/>
                <w:spacing w:val="12"/>
                <w:sz w:val="24"/>
                <w:szCs w:val="24"/>
                <w:highlight w:val="none"/>
                <w:lang w:val="en-US" w:eastAsia="zh-CN"/>
              </w:rPr>
              <w:t>.1-</w:t>
            </w:r>
            <w:r>
              <w:rPr>
                <w:rFonts w:hint="eastAsia" w:ascii="宋体" w:hAnsi="宋体" w:cs="宋体"/>
                <w:color w:val="auto"/>
                <w:spacing w:val="12"/>
                <w:sz w:val="24"/>
                <w:szCs w:val="24"/>
                <w:highlight w:val="none"/>
                <w:lang w:val="en-US" w:eastAsia="zh-CN"/>
              </w:rPr>
              <w:t>10.0</w:t>
            </w:r>
            <w:r>
              <w:rPr>
                <w:rFonts w:hint="eastAsia" w:ascii="宋体" w:hAnsi="宋体" w:eastAsia="宋体" w:cs="宋体"/>
                <w:color w:val="auto"/>
                <w:spacing w:val="12"/>
                <w:sz w:val="24"/>
                <w:szCs w:val="24"/>
                <w:highlight w:val="none"/>
                <w:lang w:val="en-US" w:eastAsia="zh-CN"/>
              </w:rPr>
              <w:t>分</w:t>
            </w:r>
          </w:p>
        </w:tc>
      </w:tr>
      <w:tr w14:paraId="3B837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9" w:type="dxa"/>
            <w:vMerge w:val="continue"/>
            <w:noWrap w:val="0"/>
            <w:vAlign w:val="center"/>
          </w:tcPr>
          <w:p w14:paraId="74276A4F">
            <w:pPr>
              <w:jc w:val="center"/>
              <w:rPr>
                <w:rFonts w:hint="eastAsia" w:ascii="宋体" w:hAnsi="宋体" w:cs="宋体"/>
                <w:color w:val="auto"/>
                <w:kern w:val="0"/>
                <w:sz w:val="24"/>
                <w:szCs w:val="24"/>
                <w:highlight w:val="none"/>
              </w:rPr>
            </w:pPr>
          </w:p>
        </w:tc>
        <w:tc>
          <w:tcPr>
            <w:tcW w:w="1186" w:type="dxa"/>
            <w:vMerge w:val="continue"/>
            <w:noWrap w:val="0"/>
            <w:vAlign w:val="center"/>
          </w:tcPr>
          <w:p w14:paraId="4C583788">
            <w:pPr>
              <w:jc w:val="center"/>
              <w:rPr>
                <w:rFonts w:hint="eastAsia" w:ascii="宋体" w:hAnsi="宋体" w:cs="宋体"/>
                <w:color w:val="auto"/>
                <w:kern w:val="0"/>
                <w:sz w:val="24"/>
                <w:szCs w:val="24"/>
                <w:highlight w:val="none"/>
              </w:rPr>
            </w:pPr>
          </w:p>
        </w:tc>
        <w:tc>
          <w:tcPr>
            <w:tcW w:w="2216" w:type="dxa"/>
            <w:vMerge w:val="continue"/>
            <w:noWrap w:val="0"/>
            <w:vAlign w:val="center"/>
          </w:tcPr>
          <w:p w14:paraId="6A8E7D21">
            <w:pPr>
              <w:adjustRightInd w:val="0"/>
              <w:snapToGrid w:val="0"/>
              <w:jc w:val="center"/>
              <w:rPr>
                <w:rFonts w:hint="eastAsia" w:ascii="宋体" w:hAnsi="宋体" w:eastAsia="宋体" w:cs="宋体"/>
                <w:color w:val="auto"/>
                <w:sz w:val="24"/>
                <w:szCs w:val="24"/>
                <w:highlight w:val="none"/>
              </w:rPr>
            </w:pPr>
          </w:p>
        </w:tc>
        <w:tc>
          <w:tcPr>
            <w:tcW w:w="894" w:type="dxa"/>
            <w:vMerge w:val="continue"/>
            <w:noWrap w:val="0"/>
            <w:vAlign w:val="center"/>
          </w:tcPr>
          <w:p w14:paraId="41A6A5BA">
            <w:pPr>
              <w:jc w:val="center"/>
              <w:rPr>
                <w:rFonts w:ascii="宋体" w:hAnsi="宋体" w:cs="宋体"/>
                <w:color w:val="auto"/>
                <w:kern w:val="0"/>
                <w:sz w:val="24"/>
                <w:szCs w:val="24"/>
                <w:highlight w:val="none"/>
              </w:rPr>
            </w:pPr>
          </w:p>
        </w:tc>
        <w:tc>
          <w:tcPr>
            <w:tcW w:w="4119" w:type="dxa"/>
            <w:noWrap w:val="0"/>
            <w:vAlign w:val="center"/>
          </w:tcPr>
          <w:p w14:paraId="5D694EB5">
            <w:pPr>
              <w:jc w:val="both"/>
              <w:rPr>
                <w:rFonts w:hint="eastAsia" w:ascii="宋体" w:hAnsi="宋体" w:cs="宋体"/>
                <w:color w:val="auto"/>
                <w:sz w:val="24"/>
                <w:szCs w:val="24"/>
                <w:highlight w:val="none"/>
              </w:rPr>
            </w:pPr>
            <w:r>
              <w:rPr>
                <w:rFonts w:hint="eastAsia" w:ascii="宋体" w:hAnsi="宋体" w:eastAsia="宋体" w:cs="宋体"/>
                <w:color w:val="auto"/>
                <w:spacing w:val="12"/>
                <w:sz w:val="24"/>
                <w:szCs w:val="24"/>
                <w:highlight w:val="none"/>
                <w:lang w:eastAsia="zh-CN"/>
              </w:rPr>
              <w:t>质保期限较长、故障响应时间较短，投标人综合能力较强，能较好满足招标文件要求</w:t>
            </w:r>
            <w:r>
              <w:rPr>
                <w:rFonts w:hint="eastAsia" w:ascii="宋体" w:hAnsi="宋体" w:eastAsia="宋体" w:cs="宋体"/>
                <w:color w:val="auto"/>
                <w:spacing w:val="12"/>
                <w:sz w:val="24"/>
                <w:szCs w:val="24"/>
                <w:highlight w:val="none"/>
                <w:lang w:val="en-US" w:eastAsia="zh-CN"/>
              </w:rPr>
              <w:t>得</w:t>
            </w:r>
            <w:r>
              <w:rPr>
                <w:rFonts w:hint="eastAsia" w:ascii="宋体" w:hAnsi="宋体" w:cs="宋体"/>
                <w:color w:val="auto"/>
                <w:spacing w:val="12"/>
                <w:sz w:val="24"/>
                <w:szCs w:val="24"/>
                <w:highlight w:val="none"/>
                <w:lang w:val="en-US" w:eastAsia="zh-CN"/>
              </w:rPr>
              <w:t>6</w:t>
            </w:r>
            <w:r>
              <w:rPr>
                <w:rFonts w:hint="eastAsia" w:ascii="宋体" w:hAnsi="宋体" w:eastAsia="宋体" w:cs="宋体"/>
                <w:color w:val="auto"/>
                <w:spacing w:val="12"/>
                <w:sz w:val="24"/>
                <w:szCs w:val="24"/>
                <w:highlight w:val="none"/>
                <w:lang w:val="en-US" w:eastAsia="zh-CN"/>
              </w:rPr>
              <w:t>.1-</w:t>
            </w:r>
            <w:r>
              <w:rPr>
                <w:rFonts w:hint="eastAsia" w:ascii="宋体" w:hAnsi="宋体" w:cs="宋体"/>
                <w:color w:val="auto"/>
                <w:spacing w:val="12"/>
                <w:sz w:val="24"/>
                <w:szCs w:val="24"/>
                <w:highlight w:val="none"/>
                <w:lang w:val="en-US" w:eastAsia="zh-CN"/>
              </w:rPr>
              <w:t>8.0</w:t>
            </w:r>
            <w:r>
              <w:rPr>
                <w:rFonts w:hint="eastAsia" w:ascii="宋体" w:hAnsi="宋体" w:eastAsia="宋体" w:cs="宋体"/>
                <w:color w:val="auto"/>
                <w:spacing w:val="12"/>
                <w:sz w:val="24"/>
                <w:szCs w:val="24"/>
                <w:highlight w:val="none"/>
                <w:lang w:val="en-US" w:eastAsia="zh-CN"/>
              </w:rPr>
              <w:t>分</w:t>
            </w:r>
          </w:p>
        </w:tc>
      </w:tr>
      <w:tr w14:paraId="4BDD7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9" w:type="dxa"/>
            <w:vMerge w:val="continue"/>
            <w:noWrap w:val="0"/>
            <w:vAlign w:val="center"/>
          </w:tcPr>
          <w:p w14:paraId="0F8C9F36">
            <w:pPr>
              <w:jc w:val="center"/>
              <w:rPr>
                <w:rFonts w:hint="eastAsia" w:ascii="宋体" w:hAnsi="宋体" w:cs="宋体"/>
                <w:color w:val="auto"/>
                <w:kern w:val="0"/>
                <w:sz w:val="24"/>
                <w:szCs w:val="24"/>
                <w:highlight w:val="none"/>
              </w:rPr>
            </w:pPr>
          </w:p>
        </w:tc>
        <w:tc>
          <w:tcPr>
            <w:tcW w:w="1186" w:type="dxa"/>
            <w:vMerge w:val="continue"/>
            <w:noWrap w:val="0"/>
            <w:vAlign w:val="center"/>
          </w:tcPr>
          <w:p w14:paraId="16EF29F0">
            <w:pPr>
              <w:jc w:val="center"/>
              <w:rPr>
                <w:rFonts w:hint="eastAsia" w:ascii="宋体" w:hAnsi="宋体" w:cs="宋体"/>
                <w:color w:val="auto"/>
                <w:kern w:val="0"/>
                <w:sz w:val="24"/>
                <w:szCs w:val="24"/>
                <w:highlight w:val="none"/>
              </w:rPr>
            </w:pPr>
          </w:p>
        </w:tc>
        <w:tc>
          <w:tcPr>
            <w:tcW w:w="2216" w:type="dxa"/>
            <w:vMerge w:val="continue"/>
            <w:noWrap w:val="0"/>
            <w:vAlign w:val="center"/>
          </w:tcPr>
          <w:p w14:paraId="55696C85">
            <w:pPr>
              <w:adjustRightInd w:val="0"/>
              <w:snapToGrid w:val="0"/>
              <w:jc w:val="center"/>
              <w:rPr>
                <w:rFonts w:hint="eastAsia" w:ascii="宋体" w:hAnsi="宋体" w:eastAsia="宋体" w:cs="宋体"/>
                <w:color w:val="auto"/>
                <w:sz w:val="24"/>
                <w:szCs w:val="24"/>
                <w:highlight w:val="none"/>
              </w:rPr>
            </w:pPr>
          </w:p>
        </w:tc>
        <w:tc>
          <w:tcPr>
            <w:tcW w:w="894" w:type="dxa"/>
            <w:vMerge w:val="continue"/>
            <w:noWrap w:val="0"/>
            <w:vAlign w:val="center"/>
          </w:tcPr>
          <w:p w14:paraId="54071CFA">
            <w:pPr>
              <w:jc w:val="center"/>
              <w:rPr>
                <w:rFonts w:ascii="宋体" w:hAnsi="宋体" w:cs="宋体"/>
                <w:color w:val="auto"/>
                <w:kern w:val="0"/>
                <w:sz w:val="24"/>
                <w:szCs w:val="24"/>
                <w:highlight w:val="none"/>
              </w:rPr>
            </w:pPr>
          </w:p>
        </w:tc>
        <w:tc>
          <w:tcPr>
            <w:tcW w:w="4119" w:type="dxa"/>
            <w:noWrap w:val="0"/>
            <w:vAlign w:val="center"/>
          </w:tcPr>
          <w:p w14:paraId="753D8C16">
            <w:pPr>
              <w:jc w:val="both"/>
              <w:rPr>
                <w:rFonts w:hint="default" w:ascii="宋体" w:hAnsi="宋体" w:cs="宋体"/>
                <w:color w:val="auto"/>
                <w:sz w:val="24"/>
                <w:szCs w:val="24"/>
                <w:highlight w:val="none"/>
                <w:lang w:val="en-US"/>
              </w:rPr>
            </w:pPr>
            <w:r>
              <w:rPr>
                <w:rFonts w:hint="eastAsia" w:ascii="宋体" w:hAnsi="宋体" w:eastAsia="宋体" w:cs="宋体"/>
                <w:color w:val="auto"/>
                <w:spacing w:val="12"/>
                <w:sz w:val="24"/>
                <w:szCs w:val="24"/>
                <w:highlight w:val="none"/>
                <w:lang w:eastAsia="zh-CN"/>
              </w:rPr>
              <w:t>质保期限短、故障响应时间长，投标人综合能力一般，满足招标文件要求</w:t>
            </w:r>
            <w:r>
              <w:rPr>
                <w:rFonts w:hint="eastAsia" w:ascii="宋体" w:hAnsi="宋体" w:eastAsia="宋体" w:cs="宋体"/>
                <w:color w:val="auto"/>
                <w:spacing w:val="12"/>
                <w:sz w:val="24"/>
                <w:szCs w:val="24"/>
                <w:highlight w:val="none"/>
                <w:lang w:val="en-US" w:eastAsia="zh-CN"/>
              </w:rPr>
              <w:t>得</w:t>
            </w:r>
            <w:r>
              <w:rPr>
                <w:rFonts w:hint="eastAsia" w:ascii="宋体" w:hAnsi="宋体" w:cs="宋体"/>
                <w:color w:val="auto"/>
                <w:spacing w:val="12"/>
                <w:sz w:val="24"/>
                <w:szCs w:val="24"/>
                <w:highlight w:val="none"/>
                <w:lang w:val="en-US" w:eastAsia="zh-CN"/>
              </w:rPr>
              <w:t>6.0</w:t>
            </w:r>
            <w:r>
              <w:rPr>
                <w:rFonts w:hint="eastAsia" w:ascii="宋体" w:hAnsi="宋体" w:eastAsia="宋体" w:cs="宋体"/>
                <w:color w:val="auto"/>
                <w:spacing w:val="12"/>
                <w:sz w:val="24"/>
                <w:szCs w:val="24"/>
                <w:highlight w:val="none"/>
                <w:lang w:val="en-US" w:eastAsia="zh-CN"/>
              </w:rPr>
              <w:t>分</w:t>
            </w:r>
          </w:p>
        </w:tc>
      </w:tr>
      <w:tr w14:paraId="52236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959" w:type="dxa"/>
            <w:vMerge w:val="continue"/>
            <w:noWrap w:val="0"/>
            <w:vAlign w:val="center"/>
          </w:tcPr>
          <w:p w14:paraId="5363E0E3">
            <w:pPr>
              <w:jc w:val="center"/>
              <w:rPr>
                <w:rFonts w:hint="eastAsia" w:ascii="宋体" w:hAnsi="宋体" w:cs="宋体"/>
                <w:color w:val="auto"/>
                <w:kern w:val="0"/>
                <w:sz w:val="24"/>
                <w:szCs w:val="24"/>
                <w:highlight w:val="none"/>
              </w:rPr>
            </w:pPr>
          </w:p>
        </w:tc>
        <w:tc>
          <w:tcPr>
            <w:tcW w:w="1186" w:type="dxa"/>
            <w:vMerge w:val="continue"/>
            <w:noWrap w:val="0"/>
            <w:vAlign w:val="center"/>
          </w:tcPr>
          <w:p w14:paraId="4B364336">
            <w:pPr>
              <w:jc w:val="center"/>
              <w:rPr>
                <w:rFonts w:hint="eastAsia" w:ascii="宋体" w:hAnsi="宋体" w:cs="宋体"/>
                <w:color w:val="auto"/>
                <w:kern w:val="0"/>
                <w:sz w:val="24"/>
                <w:szCs w:val="24"/>
                <w:highlight w:val="none"/>
              </w:rPr>
            </w:pPr>
          </w:p>
        </w:tc>
        <w:tc>
          <w:tcPr>
            <w:tcW w:w="2216" w:type="dxa"/>
            <w:vMerge w:val="restart"/>
            <w:noWrap w:val="0"/>
            <w:vAlign w:val="center"/>
          </w:tcPr>
          <w:p w14:paraId="7F73E65D">
            <w:pPr>
              <w:jc w:val="center"/>
              <w:rPr>
                <w:rFonts w:hint="eastAsia" w:ascii="宋体" w:hAnsi="宋体" w:eastAsia="宋体" w:cs="宋体"/>
                <w:color w:val="auto"/>
                <w:spacing w:val="12"/>
                <w:sz w:val="24"/>
                <w:szCs w:val="24"/>
                <w:highlight w:val="none"/>
                <w:lang w:eastAsia="zh-CN"/>
              </w:rPr>
            </w:pPr>
            <w:r>
              <w:rPr>
                <w:rFonts w:hint="eastAsia" w:ascii="宋体" w:hAnsi="宋体" w:eastAsia="宋体" w:cs="宋体"/>
                <w:color w:val="auto"/>
                <w:spacing w:val="12"/>
                <w:sz w:val="24"/>
                <w:szCs w:val="24"/>
                <w:highlight w:val="none"/>
                <w:lang w:eastAsia="zh-CN"/>
              </w:rPr>
              <w:t>主要配置及技术性能指标的响应程度评价</w:t>
            </w:r>
          </w:p>
          <w:p w14:paraId="1D1127CE">
            <w:pPr>
              <w:adjustRightInd w:val="0"/>
              <w:snapToGrid w:val="0"/>
              <w:jc w:val="center"/>
              <w:rPr>
                <w:rFonts w:hint="eastAsia" w:ascii="宋体" w:hAnsi="宋体" w:eastAsia="宋体" w:cs="宋体"/>
                <w:color w:val="auto"/>
                <w:sz w:val="24"/>
                <w:szCs w:val="24"/>
                <w:highlight w:val="none"/>
              </w:rPr>
            </w:pPr>
          </w:p>
        </w:tc>
        <w:tc>
          <w:tcPr>
            <w:tcW w:w="894" w:type="dxa"/>
            <w:vMerge w:val="restart"/>
            <w:noWrap w:val="0"/>
            <w:vAlign w:val="center"/>
          </w:tcPr>
          <w:p w14:paraId="2FB880DD">
            <w:pPr>
              <w:jc w:val="center"/>
              <w:rPr>
                <w:rFonts w:hint="eastAsia" w:ascii="宋体" w:hAnsi="宋体" w:cs="宋体"/>
                <w:color w:val="auto"/>
                <w:kern w:val="0"/>
                <w:sz w:val="24"/>
                <w:szCs w:val="24"/>
                <w:highlight w:val="none"/>
                <w:u w:val="single"/>
              </w:rPr>
            </w:pPr>
            <w:r>
              <w:rPr>
                <w:rFonts w:hint="eastAsia" w:ascii="宋体" w:hAnsi="宋体" w:cs="宋体"/>
                <w:color w:val="auto"/>
                <w:kern w:val="0"/>
                <w:sz w:val="24"/>
                <w:szCs w:val="24"/>
                <w:highlight w:val="none"/>
                <w:lang w:val="en-US" w:eastAsia="zh-CN"/>
              </w:rPr>
              <w:t>10</w:t>
            </w:r>
            <w:r>
              <w:rPr>
                <w:rFonts w:hint="eastAsia" w:ascii="宋体" w:hAnsi="宋体" w:cs="宋体"/>
                <w:color w:val="auto"/>
                <w:kern w:val="0"/>
                <w:sz w:val="24"/>
                <w:szCs w:val="24"/>
                <w:highlight w:val="none"/>
              </w:rPr>
              <w:t>分</w:t>
            </w:r>
          </w:p>
        </w:tc>
        <w:tc>
          <w:tcPr>
            <w:tcW w:w="4119" w:type="dxa"/>
            <w:noWrap w:val="0"/>
            <w:vAlign w:val="center"/>
          </w:tcPr>
          <w:p w14:paraId="26968C1F">
            <w:pPr>
              <w:jc w:val="both"/>
              <w:rPr>
                <w:rFonts w:hint="eastAsia" w:ascii="宋体" w:hAnsi="宋体" w:cs="宋体"/>
                <w:color w:val="auto"/>
                <w:sz w:val="24"/>
                <w:szCs w:val="24"/>
                <w:highlight w:val="none"/>
              </w:rPr>
            </w:pPr>
            <w:r>
              <w:rPr>
                <w:rFonts w:hint="eastAsia" w:ascii="宋体" w:hAnsi="宋体" w:eastAsia="宋体" w:cs="宋体"/>
                <w:color w:val="auto"/>
                <w:spacing w:val="12"/>
                <w:sz w:val="24"/>
                <w:szCs w:val="24"/>
                <w:highlight w:val="none"/>
                <w:lang w:eastAsia="zh-CN"/>
              </w:rPr>
              <w:t>功能配置齐全、实用性强、主要零部件的性能参数高</w:t>
            </w:r>
            <w:r>
              <w:rPr>
                <w:rFonts w:hint="eastAsia" w:ascii="宋体" w:hAnsi="宋体" w:eastAsia="宋体" w:cs="宋体"/>
                <w:color w:val="auto"/>
                <w:spacing w:val="12"/>
                <w:sz w:val="24"/>
                <w:szCs w:val="24"/>
                <w:highlight w:val="none"/>
                <w:lang w:val="en-US" w:eastAsia="zh-CN"/>
              </w:rPr>
              <w:t>得</w:t>
            </w:r>
            <w:r>
              <w:rPr>
                <w:rFonts w:hint="eastAsia" w:ascii="宋体" w:hAnsi="宋体" w:cs="宋体"/>
                <w:color w:val="auto"/>
                <w:spacing w:val="12"/>
                <w:sz w:val="24"/>
                <w:szCs w:val="24"/>
                <w:highlight w:val="none"/>
                <w:lang w:val="en-US" w:eastAsia="zh-CN"/>
              </w:rPr>
              <w:t>8</w:t>
            </w:r>
            <w:r>
              <w:rPr>
                <w:rFonts w:hint="eastAsia" w:ascii="宋体" w:hAnsi="宋体" w:eastAsia="宋体" w:cs="宋体"/>
                <w:color w:val="auto"/>
                <w:spacing w:val="12"/>
                <w:sz w:val="24"/>
                <w:szCs w:val="24"/>
                <w:highlight w:val="none"/>
                <w:lang w:val="en-US" w:eastAsia="zh-CN"/>
              </w:rPr>
              <w:t>.1-</w:t>
            </w:r>
            <w:r>
              <w:rPr>
                <w:rFonts w:hint="eastAsia" w:ascii="宋体" w:hAnsi="宋体" w:cs="宋体"/>
                <w:color w:val="auto"/>
                <w:spacing w:val="12"/>
                <w:sz w:val="24"/>
                <w:szCs w:val="24"/>
                <w:highlight w:val="none"/>
                <w:lang w:val="en-US" w:eastAsia="zh-CN"/>
              </w:rPr>
              <w:t>10.0</w:t>
            </w:r>
            <w:r>
              <w:rPr>
                <w:rFonts w:hint="eastAsia" w:ascii="宋体" w:hAnsi="宋体" w:eastAsia="宋体" w:cs="宋体"/>
                <w:color w:val="auto"/>
                <w:spacing w:val="12"/>
                <w:sz w:val="24"/>
                <w:szCs w:val="24"/>
                <w:highlight w:val="none"/>
                <w:lang w:val="en-US" w:eastAsia="zh-CN"/>
              </w:rPr>
              <w:t>分</w:t>
            </w:r>
          </w:p>
        </w:tc>
      </w:tr>
      <w:tr w14:paraId="590DC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jc w:val="center"/>
        </w:trPr>
        <w:tc>
          <w:tcPr>
            <w:tcW w:w="959" w:type="dxa"/>
            <w:vMerge w:val="continue"/>
            <w:noWrap w:val="0"/>
            <w:vAlign w:val="center"/>
          </w:tcPr>
          <w:p w14:paraId="619A2C0E">
            <w:pPr>
              <w:jc w:val="center"/>
              <w:rPr>
                <w:rFonts w:hint="eastAsia" w:ascii="宋体" w:hAnsi="宋体" w:cs="宋体"/>
                <w:color w:val="auto"/>
                <w:kern w:val="0"/>
                <w:sz w:val="24"/>
                <w:szCs w:val="24"/>
                <w:highlight w:val="none"/>
              </w:rPr>
            </w:pPr>
          </w:p>
        </w:tc>
        <w:tc>
          <w:tcPr>
            <w:tcW w:w="1186" w:type="dxa"/>
            <w:vMerge w:val="continue"/>
            <w:noWrap w:val="0"/>
            <w:vAlign w:val="center"/>
          </w:tcPr>
          <w:p w14:paraId="49E40590">
            <w:pPr>
              <w:jc w:val="center"/>
              <w:rPr>
                <w:rFonts w:hint="eastAsia" w:ascii="宋体" w:hAnsi="宋体" w:cs="宋体"/>
                <w:color w:val="auto"/>
                <w:kern w:val="0"/>
                <w:sz w:val="24"/>
                <w:szCs w:val="24"/>
                <w:highlight w:val="none"/>
              </w:rPr>
            </w:pPr>
          </w:p>
        </w:tc>
        <w:tc>
          <w:tcPr>
            <w:tcW w:w="2216" w:type="dxa"/>
            <w:vMerge w:val="continue"/>
            <w:noWrap w:val="0"/>
            <w:vAlign w:val="center"/>
          </w:tcPr>
          <w:p w14:paraId="35FD9652">
            <w:pPr>
              <w:jc w:val="center"/>
              <w:rPr>
                <w:rFonts w:hint="eastAsia" w:ascii="宋体" w:hAnsi="宋体" w:cs="宋体"/>
                <w:color w:val="auto"/>
                <w:sz w:val="24"/>
                <w:szCs w:val="24"/>
                <w:highlight w:val="none"/>
              </w:rPr>
            </w:pPr>
          </w:p>
        </w:tc>
        <w:tc>
          <w:tcPr>
            <w:tcW w:w="894" w:type="dxa"/>
            <w:vMerge w:val="continue"/>
            <w:noWrap w:val="0"/>
            <w:vAlign w:val="center"/>
          </w:tcPr>
          <w:p w14:paraId="3FCAA1DC">
            <w:pPr>
              <w:jc w:val="center"/>
              <w:rPr>
                <w:rFonts w:ascii="宋体" w:hAnsi="宋体" w:cs="宋体"/>
                <w:color w:val="auto"/>
                <w:kern w:val="0"/>
                <w:sz w:val="24"/>
                <w:szCs w:val="24"/>
                <w:highlight w:val="none"/>
                <w:u w:val="single"/>
              </w:rPr>
            </w:pPr>
          </w:p>
        </w:tc>
        <w:tc>
          <w:tcPr>
            <w:tcW w:w="4119" w:type="dxa"/>
            <w:noWrap w:val="0"/>
            <w:vAlign w:val="center"/>
          </w:tcPr>
          <w:p w14:paraId="1A34DB4B">
            <w:pPr>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2"/>
                <w:sz w:val="24"/>
                <w:szCs w:val="24"/>
                <w:highlight w:val="none"/>
                <w:lang w:eastAsia="zh-CN"/>
              </w:rPr>
              <w:t>功能配置较齐全、实用性较强、主要零部件的性能参数较高</w:t>
            </w:r>
            <w:r>
              <w:rPr>
                <w:rFonts w:hint="eastAsia" w:ascii="宋体" w:hAnsi="宋体" w:eastAsia="宋体" w:cs="宋体"/>
                <w:color w:val="auto"/>
                <w:spacing w:val="12"/>
                <w:sz w:val="24"/>
                <w:szCs w:val="24"/>
                <w:highlight w:val="none"/>
                <w:lang w:val="en-US" w:eastAsia="zh-CN"/>
              </w:rPr>
              <w:t>得</w:t>
            </w:r>
            <w:r>
              <w:rPr>
                <w:rFonts w:hint="eastAsia" w:ascii="宋体" w:hAnsi="宋体" w:cs="宋体"/>
                <w:color w:val="auto"/>
                <w:spacing w:val="12"/>
                <w:sz w:val="24"/>
                <w:szCs w:val="24"/>
                <w:highlight w:val="none"/>
                <w:lang w:val="en-US" w:eastAsia="zh-CN"/>
              </w:rPr>
              <w:t>6</w:t>
            </w:r>
            <w:r>
              <w:rPr>
                <w:rFonts w:hint="eastAsia" w:ascii="宋体" w:hAnsi="宋体" w:eastAsia="宋体" w:cs="宋体"/>
                <w:color w:val="auto"/>
                <w:spacing w:val="12"/>
                <w:sz w:val="24"/>
                <w:szCs w:val="24"/>
                <w:highlight w:val="none"/>
                <w:lang w:val="en-US" w:eastAsia="zh-CN"/>
              </w:rPr>
              <w:t>.1-</w:t>
            </w:r>
            <w:r>
              <w:rPr>
                <w:rFonts w:hint="eastAsia" w:ascii="宋体" w:hAnsi="宋体" w:cs="宋体"/>
                <w:color w:val="auto"/>
                <w:spacing w:val="12"/>
                <w:sz w:val="24"/>
                <w:szCs w:val="24"/>
                <w:highlight w:val="none"/>
                <w:lang w:val="en-US" w:eastAsia="zh-CN"/>
              </w:rPr>
              <w:t>8.0</w:t>
            </w:r>
            <w:r>
              <w:rPr>
                <w:rFonts w:hint="eastAsia" w:ascii="宋体" w:hAnsi="宋体" w:eastAsia="宋体" w:cs="宋体"/>
                <w:color w:val="auto"/>
                <w:spacing w:val="12"/>
                <w:sz w:val="24"/>
                <w:szCs w:val="24"/>
                <w:highlight w:val="none"/>
                <w:lang w:val="en-US" w:eastAsia="zh-CN"/>
              </w:rPr>
              <w:t>分</w:t>
            </w:r>
          </w:p>
        </w:tc>
      </w:tr>
      <w:tr w14:paraId="2E3A3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jc w:val="center"/>
        </w:trPr>
        <w:tc>
          <w:tcPr>
            <w:tcW w:w="959" w:type="dxa"/>
            <w:vMerge w:val="continue"/>
            <w:noWrap w:val="0"/>
            <w:vAlign w:val="center"/>
          </w:tcPr>
          <w:p w14:paraId="45594901">
            <w:pPr>
              <w:jc w:val="center"/>
              <w:rPr>
                <w:rFonts w:hint="eastAsia" w:ascii="宋体" w:hAnsi="宋体" w:cs="宋体"/>
                <w:color w:val="auto"/>
                <w:kern w:val="0"/>
                <w:sz w:val="24"/>
                <w:szCs w:val="24"/>
                <w:highlight w:val="none"/>
              </w:rPr>
            </w:pPr>
          </w:p>
        </w:tc>
        <w:tc>
          <w:tcPr>
            <w:tcW w:w="1186" w:type="dxa"/>
            <w:vMerge w:val="continue"/>
            <w:noWrap w:val="0"/>
            <w:vAlign w:val="center"/>
          </w:tcPr>
          <w:p w14:paraId="0EF5F966">
            <w:pPr>
              <w:jc w:val="center"/>
              <w:rPr>
                <w:rFonts w:hint="eastAsia" w:ascii="宋体" w:hAnsi="宋体" w:cs="宋体"/>
                <w:color w:val="auto"/>
                <w:kern w:val="0"/>
                <w:sz w:val="24"/>
                <w:szCs w:val="24"/>
                <w:highlight w:val="none"/>
              </w:rPr>
            </w:pPr>
          </w:p>
        </w:tc>
        <w:tc>
          <w:tcPr>
            <w:tcW w:w="2216" w:type="dxa"/>
            <w:vMerge w:val="continue"/>
            <w:noWrap w:val="0"/>
            <w:vAlign w:val="center"/>
          </w:tcPr>
          <w:p w14:paraId="31745532">
            <w:pPr>
              <w:jc w:val="center"/>
              <w:rPr>
                <w:rFonts w:hint="eastAsia" w:ascii="宋体" w:hAnsi="宋体" w:cs="宋体"/>
                <w:color w:val="auto"/>
                <w:sz w:val="24"/>
                <w:szCs w:val="24"/>
                <w:highlight w:val="none"/>
              </w:rPr>
            </w:pPr>
          </w:p>
        </w:tc>
        <w:tc>
          <w:tcPr>
            <w:tcW w:w="894" w:type="dxa"/>
            <w:vMerge w:val="continue"/>
            <w:noWrap w:val="0"/>
            <w:vAlign w:val="center"/>
          </w:tcPr>
          <w:p w14:paraId="36281544">
            <w:pPr>
              <w:jc w:val="center"/>
              <w:rPr>
                <w:rFonts w:ascii="宋体" w:hAnsi="宋体" w:cs="宋体"/>
                <w:color w:val="auto"/>
                <w:kern w:val="0"/>
                <w:sz w:val="24"/>
                <w:szCs w:val="24"/>
                <w:highlight w:val="none"/>
                <w:u w:val="single"/>
              </w:rPr>
            </w:pPr>
          </w:p>
        </w:tc>
        <w:tc>
          <w:tcPr>
            <w:tcW w:w="4119" w:type="dxa"/>
            <w:noWrap w:val="0"/>
            <w:vAlign w:val="center"/>
          </w:tcPr>
          <w:p w14:paraId="4E7BDDFB">
            <w:pPr>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2"/>
                <w:sz w:val="24"/>
                <w:szCs w:val="24"/>
                <w:highlight w:val="none"/>
                <w:lang w:eastAsia="zh-CN"/>
              </w:rPr>
              <w:t>功能配置一般、实用性一般、主要零部件的性能参数一般</w:t>
            </w:r>
            <w:r>
              <w:rPr>
                <w:rFonts w:hint="eastAsia" w:ascii="宋体" w:hAnsi="宋体" w:eastAsia="宋体" w:cs="宋体"/>
                <w:color w:val="auto"/>
                <w:spacing w:val="12"/>
                <w:sz w:val="24"/>
                <w:szCs w:val="24"/>
                <w:highlight w:val="none"/>
                <w:lang w:val="en-US" w:eastAsia="zh-CN"/>
              </w:rPr>
              <w:t>得</w:t>
            </w:r>
            <w:r>
              <w:rPr>
                <w:rFonts w:hint="eastAsia" w:ascii="宋体" w:hAnsi="宋体" w:cs="宋体"/>
                <w:color w:val="auto"/>
                <w:spacing w:val="12"/>
                <w:sz w:val="24"/>
                <w:szCs w:val="24"/>
                <w:highlight w:val="none"/>
                <w:lang w:val="en-US" w:eastAsia="zh-CN"/>
              </w:rPr>
              <w:t>6.0</w:t>
            </w:r>
            <w:r>
              <w:rPr>
                <w:rFonts w:hint="eastAsia" w:ascii="宋体" w:hAnsi="宋体" w:eastAsia="宋体" w:cs="宋体"/>
                <w:color w:val="auto"/>
                <w:spacing w:val="12"/>
                <w:sz w:val="24"/>
                <w:szCs w:val="24"/>
                <w:highlight w:val="none"/>
                <w:lang w:val="en-US" w:eastAsia="zh-CN"/>
              </w:rPr>
              <w:t>分</w:t>
            </w:r>
          </w:p>
        </w:tc>
      </w:tr>
      <w:tr w14:paraId="58B27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jc w:val="center"/>
        </w:trPr>
        <w:tc>
          <w:tcPr>
            <w:tcW w:w="959" w:type="dxa"/>
            <w:vMerge w:val="continue"/>
            <w:noWrap w:val="0"/>
            <w:vAlign w:val="center"/>
          </w:tcPr>
          <w:p w14:paraId="1DC8564A">
            <w:pPr>
              <w:jc w:val="center"/>
              <w:rPr>
                <w:rFonts w:hint="eastAsia" w:ascii="宋体" w:hAnsi="宋体" w:cs="宋体"/>
                <w:color w:val="auto"/>
                <w:kern w:val="0"/>
                <w:sz w:val="24"/>
                <w:szCs w:val="24"/>
                <w:highlight w:val="none"/>
              </w:rPr>
            </w:pPr>
          </w:p>
        </w:tc>
        <w:tc>
          <w:tcPr>
            <w:tcW w:w="1186" w:type="dxa"/>
            <w:vMerge w:val="continue"/>
            <w:noWrap w:val="0"/>
            <w:vAlign w:val="center"/>
          </w:tcPr>
          <w:p w14:paraId="7FA87F07">
            <w:pPr>
              <w:jc w:val="center"/>
              <w:rPr>
                <w:rFonts w:hint="eastAsia" w:ascii="宋体" w:hAnsi="宋体" w:cs="宋体"/>
                <w:color w:val="auto"/>
                <w:kern w:val="0"/>
                <w:sz w:val="24"/>
                <w:szCs w:val="24"/>
                <w:highlight w:val="none"/>
              </w:rPr>
            </w:pPr>
          </w:p>
        </w:tc>
        <w:tc>
          <w:tcPr>
            <w:tcW w:w="2216" w:type="dxa"/>
            <w:vMerge w:val="restart"/>
            <w:noWrap w:val="0"/>
            <w:vAlign w:val="center"/>
          </w:tcPr>
          <w:p w14:paraId="54C9946A">
            <w:pPr>
              <w:ind w:right="113"/>
              <w:jc w:val="center"/>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lang w:eastAsia="zh-CN"/>
              </w:rPr>
              <w:t>交货期服务方案及服务能力评价</w:t>
            </w:r>
          </w:p>
        </w:tc>
        <w:tc>
          <w:tcPr>
            <w:tcW w:w="894" w:type="dxa"/>
            <w:vMerge w:val="restart"/>
            <w:noWrap w:val="0"/>
            <w:vAlign w:val="center"/>
          </w:tcPr>
          <w:p w14:paraId="273575AD">
            <w:pPr>
              <w:ind w:right="113"/>
              <w:jc w:val="left"/>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分</w:t>
            </w:r>
          </w:p>
        </w:tc>
        <w:tc>
          <w:tcPr>
            <w:tcW w:w="4119" w:type="dxa"/>
            <w:noWrap w:val="0"/>
            <w:vAlign w:val="center"/>
          </w:tcPr>
          <w:p w14:paraId="0C718489">
            <w:pPr>
              <w:jc w:val="both"/>
              <w:rPr>
                <w:rFonts w:hint="default" w:ascii="宋体" w:hAnsi="宋体" w:eastAsia="宋体" w:cs="宋体"/>
                <w:color w:val="auto"/>
                <w:sz w:val="24"/>
                <w:szCs w:val="24"/>
                <w:highlight w:val="none"/>
                <w:lang w:val="en-US" w:eastAsia="zh-CN"/>
              </w:rPr>
            </w:pPr>
            <w:r>
              <w:rPr>
                <w:rFonts w:hint="eastAsia" w:ascii="宋体" w:hAnsi="宋体" w:eastAsia="宋体" w:cs="宋体"/>
                <w:color w:val="auto"/>
                <w:spacing w:val="12"/>
                <w:sz w:val="24"/>
                <w:szCs w:val="24"/>
                <w:highlight w:val="none"/>
                <w:lang w:eastAsia="zh-CN"/>
              </w:rPr>
              <w:t>配送及时、安全可靠、有良好的相关配套增值服务方案</w:t>
            </w:r>
            <w:r>
              <w:rPr>
                <w:rFonts w:hint="eastAsia" w:ascii="宋体" w:hAnsi="宋体" w:eastAsia="宋体" w:cs="宋体"/>
                <w:color w:val="auto"/>
                <w:spacing w:val="12"/>
                <w:sz w:val="24"/>
                <w:szCs w:val="24"/>
                <w:highlight w:val="none"/>
                <w:lang w:val="en-US" w:eastAsia="zh-CN"/>
              </w:rPr>
              <w:t>得</w:t>
            </w:r>
            <w:r>
              <w:rPr>
                <w:rFonts w:hint="eastAsia" w:ascii="宋体" w:hAnsi="宋体" w:cs="宋体"/>
                <w:color w:val="auto"/>
                <w:spacing w:val="12"/>
                <w:sz w:val="24"/>
                <w:szCs w:val="24"/>
                <w:highlight w:val="none"/>
                <w:lang w:val="en-US" w:eastAsia="zh-CN"/>
              </w:rPr>
              <w:t>4</w:t>
            </w:r>
            <w:r>
              <w:rPr>
                <w:rFonts w:hint="eastAsia" w:ascii="宋体" w:hAnsi="宋体" w:eastAsia="宋体" w:cs="宋体"/>
                <w:color w:val="auto"/>
                <w:spacing w:val="12"/>
                <w:sz w:val="24"/>
                <w:szCs w:val="24"/>
                <w:highlight w:val="none"/>
                <w:lang w:val="en-US" w:eastAsia="zh-CN"/>
              </w:rPr>
              <w:t>.1-</w:t>
            </w:r>
            <w:r>
              <w:rPr>
                <w:rFonts w:hint="eastAsia" w:ascii="宋体" w:hAnsi="宋体" w:cs="宋体"/>
                <w:color w:val="auto"/>
                <w:spacing w:val="12"/>
                <w:sz w:val="24"/>
                <w:szCs w:val="24"/>
                <w:highlight w:val="none"/>
                <w:lang w:val="en-US" w:eastAsia="zh-CN"/>
              </w:rPr>
              <w:t>5.0</w:t>
            </w:r>
            <w:r>
              <w:rPr>
                <w:rFonts w:hint="eastAsia" w:ascii="宋体" w:hAnsi="宋体" w:eastAsia="宋体" w:cs="宋体"/>
                <w:color w:val="auto"/>
                <w:spacing w:val="12"/>
                <w:sz w:val="24"/>
                <w:szCs w:val="24"/>
                <w:highlight w:val="none"/>
                <w:lang w:val="en-US" w:eastAsia="zh-CN"/>
              </w:rPr>
              <w:t>分</w:t>
            </w:r>
          </w:p>
        </w:tc>
      </w:tr>
      <w:tr w14:paraId="32724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jc w:val="center"/>
        </w:trPr>
        <w:tc>
          <w:tcPr>
            <w:tcW w:w="959" w:type="dxa"/>
            <w:vMerge w:val="continue"/>
            <w:noWrap w:val="0"/>
            <w:vAlign w:val="center"/>
          </w:tcPr>
          <w:p w14:paraId="2AB0122E">
            <w:pPr>
              <w:jc w:val="center"/>
              <w:rPr>
                <w:rFonts w:hint="eastAsia" w:ascii="宋体" w:hAnsi="宋体" w:cs="宋体"/>
                <w:color w:val="auto"/>
                <w:kern w:val="0"/>
                <w:sz w:val="24"/>
                <w:szCs w:val="24"/>
                <w:highlight w:val="none"/>
              </w:rPr>
            </w:pPr>
          </w:p>
        </w:tc>
        <w:tc>
          <w:tcPr>
            <w:tcW w:w="1186" w:type="dxa"/>
            <w:vMerge w:val="continue"/>
            <w:noWrap w:val="0"/>
            <w:vAlign w:val="center"/>
          </w:tcPr>
          <w:p w14:paraId="713D3711">
            <w:pPr>
              <w:jc w:val="center"/>
              <w:rPr>
                <w:rFonts w:hint="eastAsia" w:ascii="宋体" w:hAnsi="宋体" w:cs="宋体"/>
                <w:color w:val="auto"/>
                <w:kern w:val="0"/>
                <w:sz w:val="24"/>
                <w:szCs w:val="24"/>
                <w:highlight w:val="none"/>
              </w:rPr>
            </w:pPr>
          </w:p>
        </w:tc>
        <w:tc>
          <w:tcPr>
            <w:tcW w:w="2216" w:type="dxa"/>
            <w:vMerge w:val="continue"/>
            <w:noWrap w:val="0"/>
            <w:vAlign w:val="center"/>
          </w:tcPr>
          <w:p w14:paraId="0C5B6D9C">
            <w:pPr>
              <w:ind w:right="113"/>
              <w:jc w:val="left"/>
              <w:rPr>
                <w:rFonts w:hint="eastAsia" w:ascii="宋体" w:hAnsi="宋体" w:eastAsia="宋体" w:cs="宋体"/>
                <w:color w:val="auto"/>
                <w:sz w:val="24"/>
                <w:szCs w:val="24"/>
                <w:highlight w:val="none"/>
              </w:rPr>
            </w:pPr>
          </w:p>
        </w:tc>
        <w:tc>
          <w:tcPr>
            <w:tcW w:w="894" w:type="dxa"/>
            <w:vMerge w:val="continue"/>
            <w:noWrap w:val="0"/>
            <w:vAlign w:val="center"/>
          </w:tcPr>
          <w:p w14:paraId="4E76E91A">
            <w:pPr>
              <w:ind w:right="113"/>
              <w:jc w:val="left"/>
              <w:rPr>
                <w:rFonts w:hint="eastAsia" w:ascii="宋体" w:hAnsi="宋体" w:eastAsia="宋体" w:cs="宋体"/>
                <w:color w:val="auto"/>
                <w:sz w:val="24"/>
                <w:szCs w:val="24"/>
                <w:highlight w:val="none"/>
              </w:rPr>
            </w:pPr>
          </w:p>
        </w:tc>
        <w:tc>
          <w:tcPr>
            <w:tcW w:w="4119" w:type="dxa"/>
            <w:noWrap w:val="0"/>
            <w:vAlign w:val="center"/>
          </w:tcPr>
          <w:p w14:paraId="59F7632A">
            <w:pPr>
              <w:jc w:val="both"/>
              <w:rPr>
                <w:rFonts w:hint="default" w:ascii="宋体" w:hAnsi="宋体" w:eastAsia="宋体" w:cs="宋体"/>
                <w:color w:val="auto"/>
                <w:sz w:val="24"/>
                <w:szCs w:val="24"/>
                <w:highlight w:val="none"/>
                <w:lang w:val="en-US" w:eastAsia="zh-CN"/>
              </w:rPr>
            </w:pPr>
            <w:r>
              <w:rPr>
                <w:rFonts w:hint="eastAsia" w:ascii="宋体" w:hAnsi="宋体" w:eastAsia="宋体" w:cs="宋体"/>
                <w:color w:val="auto"/>
                <w:spacing w:val="12"/>
                <w:sz w:val="24"/>
                <w:szCs w:val="24"/>
                <w:highlight w:val="none"/>
                <w:lang w:eastAsia="zh-CN"/>
              </w:rPr>
              <w:t>配送较及时、较安全可靠、有较好的相关配套增值服务方案</w:t>
            </w:r>
            <w:r>
              <w:rPr>
                <w:rFonts w:hint="eastAsia" w:ascii="宋体" w:hAnsi="宋体" w:eastAsia="宋体" w:cs="宋体"/>
                <w:color w:val="auto"/>
                <w:spacing w:val="12"/>
                <w:sz w:val="24"/>
                <w:szCs w:val="24"/>
                <w:highlight w:val="none"/>
                <w:lang w:val="en-US" w:eastAsia="zh-CN"/>
              </w:rPr>
              <w:t>得</w:t>
            </w:r>
            <w:r>
              <w:rPr>
                <w:rFonts w:hint="eastAsia" w:ascii="宋体" w:hAnsi="宋体" w:cs="宋体"/>
                <w:color w:val="auto"/>
                <w:spacing w:val="12"/>
                <w:sz w:val="24"/>
                <w:szCs w:val="24"/>
                <w:highlight w:val="none"/>
                <w:lang w:val="en-US" w:eastAsia="zh-CN"/>
              </w:rPr>
              <w:t>3</w:t>
            </w:r>
            <w:r>
              <w:rPr>
                <w:rFonts w:hint="eastAsia" w:ascii="宋体" w:hAnsi="宋体" w:eastAsia="宋体" w:cs="宋体"/>
                <w:color w:val="auto"/>
                <w:spacing w:val="12"/>
                <w:sz w:val="24"/>
                <w:szCs w:val="24"/>
                <w:highlight w:val="none"/>
                <w:lang w:val="en-US" w:eastAsia="zh-CN"/>
              </w:rPr>
              <w:t>.1-</w:t>
            </w:r>
            <w:r>
              <w:rPr>
                <w:rFonts w:hint="eastAsia" w:ascii="宋体" w:hAnsi="宋体" w:cs="宋体"/>
                <w:color w:val="auto"/>
                <w:spacing w:val="12"/>
                <w:sz w:val="24"/>
                <w:szCs w:val="24"/>
                <w:highlight w:val="none"/>
                <w:lang w:val="en-US" w:eastAsia="zh-CN"/>
              </w:rPr>
              <w:t>4</w:t>
            </w:r>
            <w:r>
              <w:rPr>
                <w:rFonts w:hint="eastAsia" w:ascii="宋体" w:hAnsi="宋体" w:eastAsia="宋体" w:cs="宋体"/>
                <w:color w:val="auto"/>
                <w:spacing w:val="12"/>
                <w:sz w:val="24"/>
                <w:szCs w:val="24"/>
                <w:highlight w:val="none"/>
                <w:lang w:val="en-US" w:eastAsia="zh-CN"/>
              </w:rPr>
              <w:t>.0分</w:t>
            </w:r>
          </w:p>
        </w:tc>
      </w:tr>
      <w:tr w14:paraId="31D62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jc w:val="center"/>
        </w:trPr>
        <w:tc>
          <w:tcPr>
            <w:tcW w:w="959" w:type="dxa"/>
            <w:vMerge w:val="continue"/>
            <w:noWrap w:val="0"/>
            <w:vAlign w:val="center"/>
          </w:tcPr>
          <w:p w14:paraId="734CDAB6">
            <w:pPr>
              <w:jc w:val="center"/>
              <w:rPr>
                <w:rFonts w:hint="eastAsia" w:ascii="宋体" w:hAnsi="宋体" w:cs="宋体"/>
                <w:color w:val="auto"/>
                <w:kern w:val="0"/>
                <w:sz w:val="24"/>
                <w:szCs w:val="24"/>
                <w:highlight w:val="none"/>
              </w:rPr>
            </w:pPr>
          </w:p>
        </w:tc>
        <w:tc>
          <w:tcPr>
            <w:tcW w:w="1186" w:type="dxa"/>
            <w:vMerge w:val="continue"/>
            <w:noWrap w:val="0"/>
            <w:vAlign w:val="center"/>
          </w:tcPr>
          <w:p w14:paraId="5E5286CB">
            <w:pPr>
              <w:jc w:val="center"/>
              <w:rPr>
                <w:rFonts w:hint="eastAsia" w:ascii="宋体" w:hAnsi="宋体" w:cs="宋体"/>
                <w:color w:val="auto"/>
                <w:kern w:val="0"/>
                <w:sz w:val="24"/>
                <w:szCs w:val="24"/>
                <w:highlight w:val="none"/>
              </w:rPr>
            </w:pPr>
          </w:p>
        </w:tc>
        <w:tc>
          <w:tcPr>
            <w:tcW w:w="2216" w:type="dxa"/>
            <w:vMerge w:val="continue"/>
            <w:noWrap w:val="0"/>
            <w:vAlign w:val="center"/>
          </w:tcPr>
          <w:p w14:paraId="74AD306B">
            <w:pPr>
              <w:ind w:right="113"/>
              <w:jc w:val="left"/>
              <w:rPr>
                <w:rFonts w:hint="eastAsia" w:ascii="宋体" w:hAnsi="宋体" w:eastAsia="宋体" w:cs="宋体"/>
                <w:color w:val="auto"/>
                <w:sz w:val="24"/>
                <w:szCs w:val="24"/>
                <w:highlight w:val="none"/>
              </w:rPr>
            </w:pPr>
          </w:p>
        </w:tc>
        <w:tc>
          <w:tcPr>
            <w:tcW w:w="894" w:type="dxa"/>
            <w:vMerge w:val="continue"/>
            <w:noWrap w:val="0"/>
            <w:vAlign w:val="center"/>
          </w:tcPr>
          <w:p w14:paraId="3A475F32">
            <w:pPr>
              <w:ind w:right="113"/>
              <w:jc w:val="left"/>
              <w:rPr>
                <w:rFonts w:hint="eastAsia" w:ascii="宋体" w:hAnsi="宋体" w:eastAsia="宋体" w:cs="宋体"/>
                <w:color w:val="auto"/>
                <w:sz w:val="24"/>
                <w:szCs w:val="24"/>
                <w:highlight w:val="none"/>
              </w:rPr>
            </w:pPr>
          </w:p>
        </w:tc>
        <w:tc>
          <w:tcPr>
            <w:tcW w:w="4119" w:type="dxa"/>
            <w:noWrap w:val="0"/>
            <w:vAlign w:val="center"/>
          </w:tcPr>
          <w:p w14:paraId="3CD99611">
            <w:pPr>
              <w:jc w:val="both"/>
              <w:rPr>
                <w:rFonts w:hint="default" w:ascii="宋体" w:hAnsi="宋体" w:eastAsia="宋体" w:cs="宋体"/>
                <w:color w:val="auto"/>
                <w:sz w:val="24"/>
                <w:szCs w:val="24"/>
                <w:highlight w:val="none"/>
                <w:lang w:val="en-US"/>
              </w:rPr>
            </w:pPr>
            <w:r>
              <w:rPr>
                <w:rFonts w:hint="eastAsia" w:ascii="宋体" w:hAnsi="宋体" w:eastAsia="宋体" w:cs="宋体"/>
                <w:color w:val="auto"/>
                <w:spacing w:val="12"/>
                <w:sz w:val="24"/>
                <w:szCs w:val="24"/>
                <w:highlight w:val="none"/>
                <w:lang w:eastAsia="zh-CN"/>
              </w:rPr>
              <w:t>配送时效性一般、安全可靠性一般、相关配套增值服务方案一般</w:t>
            </w:r>
            <w:r>
              <w:rPr>
                <w:rFonts w:hint="eastAsia" w:ascii="宋体" w:hAnsi="宋体" w:eastAsia="宋体" w:cs="宋体"/>
                <w:color w:val="auto"/>
                <w:spacing w:val="12"/>
                <w:sz w:val="24"/>
                <w:szCs w:val="24"/>
                <w:highlight w:val="none"/>
                <w:lang w:val="en-US" w:eastAsia="zh-CN"/>
              </w:rPr>
              <w:t>得</w:t>
            </w:r>
            <w:r>
              <w:rPr>
                <w:rFonts w:hint="eastAsia" w:ascii="宋体" w:hAnsi="宋体" w:cs="宋体"/>
                <w:color w:val="auto"/>
                <w:spacing w:val="12"/>
                <w:sz w:val="24"/>
                <w:szCs w:val="24"/>
                <w:highlight w:val="none"/>
                <w:lang w:val="en-US" w:eastAsia="zh-CN"/>
              </w:rPr>
              <w:t>3</w:t>
            </w:r>
            <w:r>
              <w:rPr>
                <w:rFonts w:hint="eastAsia" w:ascii="宋体" w:hAnsi="宋体" w:eastAsia="宋体" w:cs="宋体"/>
                <w:color w:val="auto"/>
                <w:spacing w:val="12"/>
                <w:sz w:val="24"/>
                <w:szCs w:val="24"/>
                <w:highlight w:val="none"/>
                <w:lang w:val="en-US" w:eastAsia="zh-CN"/>
              </w:rPr>
              <w:t>.0分</w:t>
            </w:r>
          </w:p>
        </w:tc>
      </w:tr>
      <w:tr w14:paraId="0F1FC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959" w:type="dxa"/>
            <w:vMerge w:val="continue"/>
            <w:noWrap w:val="0"/>
            <w:vAlign w:val="center"/>
          </w:tcPr>
          <w:p w14:paraId="1F7146AD">
            <w:pPr>
              <w:jc w:val="center"/>
              <w:rPr>
                <w:rFonts w:hint="eastAsia" w:ascii="宋体" w:hAnsi="宋体" w:cs="宋体"/>
                <w:color w:val="auto"/>
                <w:kern w:val="0"/>
                <w:sz w:val="24"/>
                <w:szCs w:val="24"/>
                <w:highlight w:val="none"/>
              </w:rPr>
            </w:pPr>
          </w:p>
        </w:tc>
        <w:tc>
          <w:tcPr>
            <w:tcW w:w="1186" w:type="dxa"/>
            <w:vMerge w:val="continue"/>
            <w:noWrap w:val="0"/>
            <w:vAlign w:val="center"/>
          </w:tcPr>
          <w:p w14:paraId="2320E951">
            <w:pPr>
              <w:jc w:val="center"/>
              <w:rPr>
                <w:rFonts w:hint="eastAsia" w:ascii="宋体" w:hAnsi="宋体" w:cs="宋体"/>
                <w:color w:val="auto"/>
                <w:kern w:val="0"/>
                <w:sz w:val="24"/>
                <w:szCs w:val="24"/>
                <w:highlight w:val="none"/>
              </w:rPr>
            </w:pPr>
          </w:p>
        </w:tc>
        <w:tc>
          <w:tcPr>
            <w:tcW w:w="2216" w:type="dxa"/>
            <w:vMerge w:val="restart"/>
            <w:noWrap w:val="0"/>
            <w:vAlign w:val="center"/>
          </w:tcPr>
          <w:p w14:paraId="7D288EA2">
            <w:pPr>
              <w:ind w:right="113"/>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shd w:val="clear" w:color="auto" w:fill="FFFFFF"/>
                <w:lang w:eastAsia="zh-CN"/>
              </w:rPr>
              <w:t>技术服务和质保期服务能力的评价</w:t>
            </w:r>
          </w:p>
        </w:tc>
        <w:tc>
          <w:tcPr>
            <w:tcW w:w="894" w:type="dxa"/>
            <w:vMerge w:val="restart"/>
            <w:noWrap w:val="0"/>
            <w:vAlign w:val="center"/>
          </w:tcPr>
          <w:p w14:paraId="3A9B85AC">
            <w:pPr>
              <w:ind w:right="113"/>
              <w:jc w:val="left"/>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分</w:t>
            </w:r>
          </w:p>
        </w:tc>
        <w:tc>
          <w:tcPr>
            <w:tcW w:w="4119" w:type="dxa"/>
            <w:noWrap w:val="0"/>
            <w:vAlign w:val="center"/>
          </w:tcPr>
          <w:p w14:paraId="0C3CC5BD">
            <w:pPr>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2"/>
                <w:sz w:val="24"/>
                <w:szCs w:val="24"/>
                <w:highlight w:val="none"/>
                <w:lang w:eastAsia="zh-CN"/>
              </w:rPr>
              <w:t>技术服务能力、维保能力强，有良好的保养检测等售后服务</w:t>
            </w:r>
            <w:r>
              <w:rPr>
                <w:rFonts w:hint="eastAsia" w:ascii="宋体" w:hAnsi="宋体" w:cs="宋体"/>
                <w:color w:val="auto"/>
                <w:spacing w:val="12"/>
                <w:sz w:val="24"/>
                <w:szCs w:val="24"/>
                <w:highlight w:val="none"/>
                <w:lang w:val="en-US" w:eastAsia="zh-CN"/>
              </w:rPr>
              <w:t>4</w:t>
            </w:r>
            <w:r>
              <w:rPr>
                <w:rFonts w:hint="eastAsia" w:ascii="宋体" w:hAnsi="宋体" w:eastAsia="宋体" w:cs="宋体"/>
                <w:color w:val="auto"/>
                <w:spacing w:val="12"/>
                <w:sz w:val="24"/>
                <w:szCs w:val="24"/>
                <w:highlight w:val="none"/>
                <w:lang w:val="en-US" w:eastAsia="zh-CN"/>
              </w:rPr>
              <w:t>.1-</w:t>
            </w:r>
            <w:r>
              <w:rPr>
                <w:rFonts w:hint="eastAsia" w:ascii="宋体" w:hAnsi="宋体" w:cs="宋体"/>
                <w:color w:val="auto"/>
                <w:spacing w:val="12"/>
                <w:sz w:val="24"/>
                <w:szCs w:val="24"/>
                <w:highlight w:val="none"/>
                <w:lang w:val="en-US" w:eastAsia="zh-CN"/>
              </w:rPr>
              <w:t>5.0</w:t>
            </w:r>
            <w:r>
              <w:rPr>
                <w:rFonts w:hint="eastAsia" w:ascii="宋体" w:hAnsi="宋体" w:eastAsia="宋体" w:cs="宋体"/>
                <w:color w:val="auto"/>
                <w:spacing w:val="12"/>
                <w:sz w:val="24"/>
                <w:szCs w:val="24"/>
                <w:highlight w:val="none"/>
                <w:lang w:val="en-US" w:eastAsia="zh-CN"/>
              </w:rPr>
              <w:t>分</w:t>
            </w:r>
          </w:p>
        </w:tc>
      </w:tr>
      <w:tr w14:paraId="525C9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959" w:type="dxa"/>
            <w:vMerge w:val="continue"/>
            <w:noWrap w:val="0"/>
            <w:vAlign w:val="center"/>
          </w:tcPr>
          <w:p w14:paraId="6E4F016F">
            <w:pPr>
              <w:jc w:val="center"/>
              <w:rPr>
                <w:rFonts w:hint="eastAsia" w:ascii="宋体" w:hAnsi="宋体" w:cs="宋体"/>
                <w:color w:val="auto"/>
                <w:kern w:val="0"/>
                <w:sz w:val="24"/>
                <w:szCs w:val="24"/>
                <w:highlight w:val="none"/>
              </w:rPr>
            </w:pPr>
          </w:p>
        </w:tc>
        <w:tc>
          <w:tcPr>
            <w:tcW w:w="1186" w:type="dxa"/>
            <w:vMerge w:val="continue"/>
            <w:noWrap w:val="0"/>
            <w:vAlign w:val="center"/>
          </w:tcPr>
          <w:p w14:paraId="56074A91">
            <w:pPr>
              <w:jc w:val="center"/>
              <w:rPr>
                <w:rFonts w:hint="eastAsia" w:ascii="宋体" w:hAnsi="宋体" w:cs="宋体"/>
                <w:color w:val="auto"/>
                <w:kern w:val="0"/>
                <w:sz w:val="24"/>
                <w:szCs w:val="24"/>
                <w:highlight w:val="none"/>
              </w:rPr>
            </w:pPr>
          </w:p>
        </w:tc>
        <w:tc>
          <w:tcPr>
            <w:tcW w:w="2216" w:type="dxa"/>
            <w:vMerge w:val="continue"/>
            <w:noWrap w:val="0"/>
            <w:vAlign w:val="center"/>
          </w:tcPr>
          <w:p w14:paraId="345378F3">
            <w:pPr>
              <w:ind w:right="113"/>
              <w:jc w:val="left"/>
              <w:rPr>
                <w:rFonts w:hint="eastAsia" w:ascii="宋体" w:hAnsi="宋体" w:eastAsia="宋体" w:cs="宋体"/>
                <w:color w:val="auto"/>
                <w:sz w:val="24"/>
                <w:szCs w:val="24"/>
                <w:highlight w:val="none"/>
              </w:rPr>
            </w:pPr>
          </w:p>
        </w:tc>
        <w:tc>
          <w:tcPr>
            <w:tcW w:w="894" w:type="dxa"/>
            <w:vMerge w:val="continue"/>
            <w:noWrap w:val="0"/>
            <w:vAlign w:val="center"/>
          </w:tcPr>
          <w:p w14:paraId="28B27B35">
            <w:pPr>
              <w:ind w:right="113"/>
              <w:jc w:val="left"/>
              <w:rPr>
                <w:rFonts w:hint="eastAsia" w:ascii="宋体" w:hAnsi="宋体" w:eastAsia="宋体" w:cs="宋体"/>
                <w:color w:val="auto"/>
                <w:sz w:val="24"/>
                <w:szCs w:val="24"/>
                <w:highlight w:val="none"/>
              </w:rPr>
            </w:pPr>
          </w:p>
        </w:tc>
        <w:tc>
          <w:tcPr>
            <w:tcW w:w="4119" w:type="dxa"/>
            <w:noWrap w:val="0"/>
            <w:vAlign w:val="center"/>
          </w:tcPr>
          <w:p w14:paraId="52B8568F">
            <w:pPr>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2"/>
                <w:sz w:val="24"/>
                <w:szCs w:val="24"/>
                <w:highlight w:val="none"/>
                <w:lang w:eastAsia="zh-CN"/>
              </w:rPr>
              <w:t>技术服务能力、维保能力较强，有较好的保养检测等售后服务</w:t>
            </w:r>
            <w:r>
              <w:rPr>
                <w:rFonts w:hint="eastAsia" w:ascii="宋体" w:hAnsi="宋体" w:cs="宋体"/>
                <w:color w:val="auto"/>
                <w:spacing w:val="12"/>
                <w:sz w:val="24"/>
                <w:szCs w:val="24"/>
                <w:highlight w:val="none"/>
                <w:lang w:val="en-US" w:eastAsia="zh-CN"/>
              </w:rPr>
              <w:t>3</w:t>
            </w:r>
            <w:r>
              <w:rPr>
                <w:rFonts w:hint="eastAsia" w:ascii="宋体" w:hAnsi="宋体" w:eastAsia="宋体" w:cs="宋体"/>
                <w:color w:val="auto"/>
                <w:spacing w:val="12"/>
                <w:sz w:val="24"/>
                <w:szCs w:val="24"/>
                <w:highlight w:val="none"/>
                <w:lang w:val="en-US" w:eastAsia="zh-CN"/>
              </w:rPr>
              <w:t>.1</w:t>
            </w:r>
            <w:r>
              <w:rPr>
                <w:rFonts w:hint="eastAsia" w:ascii="宋体" w:hAnsi="宋体" w:cs="宋体"/>
                <w:color w:val="auto"/>
                <w:spacing w:val="12"/>
                <w:sz w:val="24"/>
                <w:szCs w:val="24"/>
                <w:highlight w:val="none"/>
                <w:lang w:val="en-US" w:eastAsia="zh-CN"/>
              </w:rPr>
              <w:t>-4</w:t>
            </w:r>
            <w:r>
              <w:rPr>
                <w:rFonts w:hint="eastAsia" w:ascii="宋体" w:hAnsi="宋体" w:eastAsia="宋体" w:cs="宋体"/>
                <w:color w:val="auto"/>
                <w:spacing w:val="12"/>
                <w:sz w:val="24"/>
                <w:szCs w:val="24"/>
                <w:highlight w:val="none"/>
                <w:lang w:val="en-US" w:eastAsia="zh-CN"/>
              </w:rPr>
              <w:t>.0分</w:t>
            </w:r>
          </w:p>
        </w:tc>
      </w:tr>
      <w:tr w14:paraId="07BE6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959" w:type="dxa"/>
            <w:vMerge w:val="continue"/>
            <w:noWrap w:val="0"/>
            <w:vAlign w:val="center"/>
          </w:tcPr>
          <w:p w14:paraId="58DE8E4C">
            <w:pPr>
              <w:jc w:val="center"/>
              <w:rPr>
                <w:rFonts w:hint="eastAsia" w:ascii="宋体" w:hAnsi="宋体" w:cs="宋体"/>
                <w:color w:val="auto"/>
                <w:kern w:val="0"/>
                <w:sz w:val="24"/>
                <w:szCs w:val="24"/>
                <w:highlight w:val="none"/>
              </w:rPr>
            </w:pPr>
          </w:p>
        </w:tc>
        <w:tc>
          <w:tcPr>
            <w:tcW w:w="1186" w:type="dxa"/>
            <w:vMerge w:val="continue"/>
            <w:noWrap w:val="0"/>
            <w:vAlign w:val="center"/>
          </w:tcPr>
          <w:p w14:paraId="58A629AB">
            <w:pPr>
              <w:jc w:val="center"/>
              <w:rPr>
                <w:rFonts w:hint="eastAsia" w:ascii="宋体" w:hAnsi="宋体" w:cs="宋体"/>
                <w:color w:val="auto"/>
                <w:kern w:val="0"/>
                <w:sz w:val="24"/>
                <w:szCs w:val="24"/>
                <w:highlight w:val="none"/>
              </w:rPr>
            </w:pPr>
          </w:p>
        </w:tc>
        <w:tc>
          <w:tcPr>
            <w:tcW w:w="2216" w:type="dxa"/>
            <w:vMerge w:val="continue"/>
            <w:noWrap w:val="0"/>
            <w:vAlign w:val="center"/>
          </w:tcPr>
          <w:p w14:paraId="66F3D56A">
            <w:pPr>
              <w:ind w:right="113"/>
              <w:jc w:val="left"/>
              <w:rPr>
                <w:rFonts w:hint="eastAsia" w:ascii="宋体" w:hAnsi="宋体" w:eastAsia="宋体" w:cs="宋体"/>
                <w:color w:val="auto"/>
                <w:sz w:val="24"/>
                <w:szCs w:val="24"/>
                <w:highlight w:val="none"/>
              </w:rPr>
            </w:pPr>
          </w:p>
        </w:tc>
        <w:tc>
          <w:tcPr>
            <w:tcW w:w="894" w:type="dxa"/>
            <w:vMerge w:val="continue"/>
            <w:noWrap w:val="0"/>
            <w:vAlign w:val="center"/>
          </w:tcPr>
          <w:p w14:paraId="1518F24D">
            <w:pPr>
              <w:ind w:right="113"/>
              <w:jc w:val="left"/>
              <w:rPr>
                <w:rFonts w:hint="eastAsia" w:ascii="宋体" w:hAnsi="宋体" w:eastAsia="宋体" w:cs="宋体"/>
                <w:color w:val="auto"/>
                <w:sz w:val="24"/>
                <w:szCs w:val="24"/>
                <w:highlight w:val="none"/>
              </w:rPr>
            </w:pPr>
          </w:p>
        </w:tc>
        <w:tc>
          <w:tcPr>
            <w:tcW w:w="4119" w:type="dxa"/>
            <w:noWrap w:val="0"/>
            <w:vAlign w:val="center"/>
          </w:tcPr>
          <w:p w14:paraId="3E1049D6">
            <w:pPr>
              <w:jc w:val="both"/>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lang w:eastAsia="zh-CN"/>
              </w:rPr>
              <w:t>技术服务能力、维保能力一般，保养检测等售后服务一般</w:t>
            </w:r>
            <w:r>
              <w:rPr>
                <w:rFonts w:hint="eastAsia" w:ascii="宋体" w:hAnsi="宋体" w:cs="宋体"/>
                <w:color w:val="auto"/>
                <w:spacing w:val="12"/>
                <w:sz w:val="24"/>
                <w:szCs w:val="24"/>
                <w:highlight w:val="none"/>
                <w:lang w:val="en-US" w:eastAsia="zh-CN"/>
              </w:rPr>
              <w:t>3</w:t>
            </w:r>
            <w:r>
              <w:rPr>
                <w:rFonts w:hint="eastAsia" w:ascii="宋体" w:hAnsi="宋体" w:eastAsia="宋体" w:cs="宋体"/>
                <w:color w:val="auto"/>
                <w:spacing w:val="12"/>
                <w:sz w:val="24"/>
                <w:szCs w:val="24"/>
                <w:highlight w:val="none"/>
                <w:lang w:val="en-US" w:eastAsia="zh-CN"/>
              </w:rPr>
              <w:t>.0分</w:t>
            </w:r>
          </w:p>
        </w:tc>
      </w:tr>
      <w:tr w14:paraId="7F769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959" w:type="dxa"/>
            <w:noWrap w:val="0"/>
            <w:vAlign w:val="center"/>
          </w:tcPr>
          <w:p w14:paraId="76C1A5D4">
            <w:pPr>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2.2.</w:t>
            </w:r>
            <w:r>
              <w:rPr>
                <w:rFonts w:hint="eastAsia" w:ascii="宋体" w:hAnsi="宋体" w:cs="宋体"/>
                <w:color w:val="auto"/>
                <w:kern w:val="0"/>
                <w:sz w:val="24"/>
                <w:szCs w:val="24"/>
                <w:highlight w:val="none"/>
                <w:lang w:val="en-US" w:eastAsia="zh-CN"/>
              </w:rPr>
              <w:t>1</w:t>
            </w:r>
          </w:p>
          <w:p w14:paraId="5DA6C3F2">
            <w:pPr>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(3)</w:t>
            </w:r>
          </w:p>
        </w:tc>
        <w:tc>
          <w:tcPr>
            <w:tcW w:w="1186" w:type="dxa"/>
            <w:noWrap w:val="0"/>
            <w:vAlign w:val="center"/>
          </w:tcPr>
          <w:p w14:paraId="689AE31A">
            <w:pPr>
              <w:ind w:left="144" w:hanging="144" w:hangingChars="60"/>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其他</w:t>
            </w:r>
            <w:r>
              <w:rPr>
                <w:rFonts w:hint="eastAsia" w:ascii="宋体" w:hAnsi="宋体" w:cs="宋体"/>
                <w:color w:val="auto"/>
                <w:kern w:val="0"/>
                <w:sz w:val="24"/>
                <w:szCs w:val="24"/>
                <w:highlight w:val="none"/>
                <w:lang w:val="en-US" w:eastAsia="zh-CN"/>
              </w:rPr>
              <w:t>评分</w:t>
            </w:r>
            <w:r>
              <w:rPr>
                <w:rFonts w:hint="eastAsia" w:ascii="宋体" w:hAnsi="宋体" w:cs="宋体"/>
                <w:color w:val="auto"/>
                <w:kern w:val="0"/>
                <w:sz w:val="24"/>
                <w:szCs w:val="24"/>
                <w:highlight w:val="none"/>
              </w:rPr>
              <w:t>因素</w:t>
            </w:r>
          </w:p>
        </w:tc>
        <w:tc>
          <w:tcPr>
            <w:tcW w:w="7229" w:type="dxa"/>
            <w:gridSpan w:val="3"/>
            <w:noWrap w:val="0"/>
            <w:vAlign w:val="center"/>
          </w:tcPr>
          <w:p w14:paraId="66AFDCD0">
            <w:pPr>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无</w:t>
            </w:r>
          </w:p>
        </w:tc>
      </w:tr>
      <w:tr w14:paraId="5BFBB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959" w:type="dxa"/>
            <w:tcBorders>
              <w:bottom w:val="single" w:color="auto" w:sz="4" w:space="0"/>
            </w:tcBorders>
            <w:noWrap w:val="0"/>
            <w:vAlign w:val="center"/>
          </w:tcPr>
          <w:p w14:paraId="141C4C42">
            <w:pPr>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2.2.</w:t>
            </w:r>
            <w:r>
              <w:rPr>
                <w:rFonts w:hint="eastAsia" w:ascii="宋体" w:hAnsi="宋体" w:cs="宋体"/>
                <w:color w:val="auto"/>
                <w:kern w:val="0"/>
                <w:sz w:val="24"/>
                <w:szCs w:val="24"/>
                <w:highlight w:val="none"/>
                <w:lang w:val="en-US" w:eastAsia="zh-CN"/>
              </w:rPr>
              <w:t>1</w:t>
            </w:r>
          </w:p>
          <w:p w14:paraId="0885836E">
            <w:pPr>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w:t>
            </w:r>
            <w:r>
              <w:rPr>
                <w:rFonts w:hint="eastAsia" w:ascii="宋体" w:hAnsi="宋体" w:cs="宋体"/>
                <w:color w:val="auto"/>
                <w:kern w:val="0"/>
                <w:sz w:val="24"/>
                <w:szCs w:val="24"/>
                <w:highlight w:val="none"/>
                <w:lang w:val="en-US" w:eastAsia="zh-CN"/>
              </w:rPr>
              <w:t>4</w:t>
            </w:r>
            <w:r>
              <w:rPr>
                <w:rFonts w:hint="eastAsia" w:ascii="宋体" w:hAnsi="宋体" w:cs="宋体"/>
                <w:color w:val="auto"/>
                <w:kern w:val="0"/>
                <w:sz w:val="24"/>
                <w:szCs w:val="24"/>
                <w:highlight w:val="none"/>
              </w:rPr>
              <w:t>)</w:t>
            </w:r>
          </w:p>
        </w:tc>
        <w:tc>
          <w:tcPr>
            <w:tcW w:w="1186" w:type="dxa"/>
            <w:tcBorders>
              <w:bottom w:val="single" w:color="auto" w:sz="4" w:space="0"/>
            </w:tcBorders>
            <w:noWrap w:val="0"/>
            <w:vAlign w:val="center"/>
          </w:tcPr>
          <w:p w14:paraId="68A2239D">
            <w:pPr>
              <w:ind w:left="144" w:hanging="144" w:hangingChars="60"/>
              <w:jc w:val="both"/>
              <w:rPr>
                <w:rFonts w:hint="eastAsia" w:ascii="宋体" w:hAnsi="宋体" w:cs="宋体"/>
                <w:color w:val="auto"/>
                <w:kern w:val="0"/>
                <w:sz w:val="24"/>
                <w:szCs w:val="24"/>
                <w:highlight w:val="none"/>
              </w:rPr>
            </w:pPr>
            <w:r>
              <w:rPr>
                <w:rFonts w:hint="eastAsia" w:ascii="宋体" w:hAnsi="宋体" w:eastAsia="宋体" w:cs="宋体"/>
                <w:color w:val="auto"/>
                <w:sz w:val="24"/>
                <w:szCs w:val="24"/>
                <w:highlight w:val="none"/>
                <w:lang w:eastAsia="zh-CN"/>
              </w:rPr>
              <w:t>投标报价</w:t>
            </w:r>
            <w:r>
              <w:rPr>
                <w:rFonts w:hint="eastAsia" w:ascii="宋体" w:hAnsi="宋体" w:cs="宋体"/>
                <w:color w:val="auto"/>
                <w:kern w:val="0"/>
                <w:sz w:val="24"/>
                <w:szCs w:val="24"/>
                <w:highlight w:val="none"/>
                <w:lang w:val="en-US" w:eastAsia="zh-CN"/>
              </w:rPr>
              <w:t>(50分）</w:t>
            </w:r>
          </w:p>
          <w:p w14:paraId="689C3052">
            <w:pPr>
              <w:ind w:left="144" w:hanging="144" w:hangingChars="60"/>
              <w:jc w:val="center"/>
              <w:rPr>
                <w:rFonts w:hint="eastAsia" w:ascii="宋体" w:hAnsi="宋体" w:cs="宋体"/>
                <w:color w:val="auto"/>
                <w:kern w:val="0"/>
                <w:sz w:val="24"/>
                <w:szCs w:val="24"/>
                <w:highlight w:val="none"/>
              </w:rPr>
            </w:pPr>
          </w:p>
        </w:tc>
        <w:tc>
          <w:tcPr>
            <w:tcW w:w="7229" w:type="dxa"/>
            <w:gridSpan w:val="3"/>
            <w:tcBorders>
              <w:bottom w:val="single" w:color="auto" w:sz="4" w:space="0"/>
            </w:tcBorders>
            <w:noWrap w:val="0"/>
            <w:vAlign w:val="center"/>
          </w:tcPr>
          <w:p w14:paraId="0487BE5F">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评标报价得分计算公式：</w:t>
            </w:r>
          </w:p>
          <w:p w14:paraId="6A49A3D1">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(1)如果投标人的有效</w:t>
            </w:r>
            <w:r>
              <w:rPr>
                <w:rFonts w:hint="eastAsia" w:ascii="宋体" w:hAnsi="宋体" w:cs="宋体"/>
                <w:color w:val="auto"/>
                <w:sz w:val="24"/>
                <w:szCs w:val="24"/>
                <w:highlight w:val="none"/>
                <w:lang w:val="en-US" w:eastAsia="zh-CN"/>
              </w:rPr>
              <w:t>评标</w:t>
            </w:r>
            <w:r>
              <w:rPr>
                <w:rFonts w:hint="eastAsia" w:ascii="宋体" w:hAnsi="宋体" w:eastAsia="宋体" w:cs="宋体"/>
                <w:color w:val="auto"/>
                <w:sz w:val="24"/>
                <w:szCs w:val="24"/>
                <w:highlight w:val="none"/>
                <w:lang w:eastAsia="zh-CN"/>
              </w:rPr>
              <w:t>报价＞评标基准价，则</w:t>
            </w:r>
            <w:r>
              <w:rPr>
                <w:rFonts w:hint="eastAsia" w:ascii="宋体" w:hAnsi="宋体" w:cs="宋体"/>
                <w:color w:val="auto"/>
                <w:sz w:val="24"/>
                <w:szCs w:val="24"/>
                <w:highlight w:val="none"/>
                <w:lang w:val="en-US" w:eastAsia="zh-CN"/>
              </w:rPr>
              <w:t>评标</w:t>
            </w:r>
            <w:r>
              <w:rPr>
                <w:rFonts w:hint="eastAsia" w:ascii="宋体" w:hAnsi="宋体" w:eastAsia="宋体" w:cs="宋体"/>
                <w:color w:val="auto"/>
                <w:sz w:val="24"/>
                <w:szCs w:val="24"/>
                <w:highlight w:val="none"/>
                <w:lang w:eastAsia="zh-CN"/>
              </w:rPr>
              <w:t>报价得分=</w:t>
            </w:r>
            <w:r>
              <w:rPr>
                <w:rFonts w:hint="eastAsia" w:ascii="宋体" w:hAnsi="宋体" w:cs="宋体"/>
                <w:color w:val="auto"/>
                <w:sz w:val="24"/>
                <w:szCs w:val="24"/>
                <w:highlight w:val="none"/>
                <w:lang w:val="en-US" w:eastAsia="zh-CN"/>
              </w:rPr>
              <w:t>50</w:t>
            </w:r>
            <w:r>
              <w:rPr>
                <w:rFonts w:hint="eastAsia" w:ascii="宋体" w:hAnsi="宋体" w:eastAsia="宋体" w:cs="宋体"/>
                <w:color w:val="auto"/>
                <w:sz w:val="24"/>
                <w:szCs w:val="24"/>
                <w:highlight w:val="none"/>
                <w:lang w:eastAsia="zh-CN"/>
              </w:rPr>
              <w:t>-偏差率×100×E1；</w:t>
            </w:r>
          </w:p>
          <w:p w14:paraId="327E0FCA">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(2)如果投标人的有效</w:t>
            </w:r>
            <w:r>
              <w:rPr>
                <w:rFonts w:hint="eastAsia" w:ascii="宋体" w:hAnsi="宋体" w:cs="宋体"/>
                <w:color w:val="auto"/>
                <w:sz w:val="24"/>
                <w:szCs w:val="24"/>
                <w:highlight w:val="none"/>
                <w:lang w:val="en-US" w:eastAsia="zh-CN"/>
              </w:rPr>
              <w:t>评标</w:t>
            </w:r>
            <w:r>
              <w:rPr>
                <w:rFonts w:hint="eastAsia" w:ascii="宋体" w:hAnsi="宋体" w:eastAsia="宋体" w:cs="宋体"/>
                <w:color w:val="auto"/>
                <w:sz w:val="24"/>
                <w:szCs w:val="24"/>
                <w:highlight w:val="none"/>
                <w:lang w:eastAsia="zh-CN"/>
              </w:rPr>
              <w:t>报价≤评标基准价，则</w:t>
            </w:r>
            <w:r>
              <w:rPr>
                <w:rFonts w:hint="eastAsia" w:ascii="宋体" w:hAnsi="宋体" w:cs="宋体"/>
                <w:color w:val="auto"/>
                <w:sz w:val="24"/>
                <w:szCs w:val="24"/>
                <w:highlight w:val="none"/>
                <w:lang w:val="en-US" w:eastAsia="zh-CN"/>
              </w:rPr>
              <w:t>评标</w:t>
            </w:r>
            <w:r>
              <w:rPr>
                <w:rFonts w:hint="eastAsia" w:ascii="宋体" w:hAnsi="宋体" w:eastAsia="宋体" w:cs="宋体"/>
                <w:color w:val="auto"/>
                <w:sz w:val="24"/>
                <w:szCs w:val="24"/>
                <w:highlight w:val="none"/>
                <w:lang w:eastAsia="zh-CN"/>
              </w:rPr>
              <w:t>报价得分=</w:t>
            </w:r>
            <w:r>
              <w:rPr>
                <w:rFonts w:hint="eastAsia" w:ascii="宋体" w:hAnsi="宋体" w:cs="宋体"/>
                <w:color w:val="auto"/>
                <w:sz w:val="24"/>
                <w:szCs w:val="24"/>
                <w:highlight w:val="none"/>
                <w:lang w:val="en-US" w:eastAsia="zh-CN"/>
              </w:rPr>
              <w:t>50</w:t>
            </w:r>
            <w:r>
              <w:rPr>
                <w:rFonts w:hint="eastAsia" w:ascii="宋体" w:hAnsi="宋体" w:eastAsia="宋体" w:cs="宋体"/>
                <w:color w:val="auto"/>
                <w:sz w:val="24"/>
                <w:szCs w:val="24"/>
                <w:highlight w:val="none"/>
                <w:lang w:eastAsia="zh-CN"/>
              </w:rPr>
              <w:t>+偏差率×100×E2。</w:t>
            </w:r>
          </w:p>
          <w:p w14:paraId="61E38B8E">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其中：</w:t>
            </w:r>
          </w:p>
          <w:p w14:paraId="3921CBEE">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E1是有效</w:t>
            </w:r>
            <w:r>
              <w:rPr>
                <w:rFonts w:hint="eastAsia" w:ascii="宋体" w:hAnsi="宋体" w:cs="宋体"/>
                <w:color w:val="auto"/>
                <w:sz w:val="24"/>
                <w:szCs w:val="24"/>
                <w:highlight w:val="none"/>
                <w:lang w:val="en-US" w:eastAsia="zh-CN"/>
              </w:rPr>
              <w:t>评标</w:t>
            </w:r>
            <w:r>
              <w:rPr>
                <w:rFonts w:hint="eastAsia" w:ascii="宋体" w:hAnsi="宋体" w:eastAsia="宋体" w:cs="宋体"/>
                <w:color w:val="auto"/>
                <w:sz w:val="24"/>
                <w:szCs w:val="24"/>
                <w:highlight w:val="none"/>
                <w:lang w:eastAsia="zh-CN"/>
              </w:rPr>
              <w:t>报价每高于评标基准价一个百分点的扣分值，E1＝0.</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w:t>
            </w:r>
          </w:p>
          <w:p w14:paraId="54D460CF">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E2是有效</w:t>
            </w:r>
            <w:r>
              <w:rPr>
                <w:rFonts w:hint="eastAsia" w:ascii="宋体" w:hAnsi="宋体" w:cs="宋体"/>
                <w:color w:val="auto"/>
                <w:sz w:val="24"/>
                <w:szCs w:val="24"/>
                <w:highlight w:val="none"/>
                <w:lang w:val="en-US" w:eastAsia="zh-CN"/>
              </w:rPr>
              <w:t>评标</w:t>
            </w:r>
            <w:r>
              <w:rPr>
                <w:rFonts w:hint="eastAsia" w:ascii="宋体" w:hAnsi="宋体" w:eastAsia="宋体" w:cs="宋体"/>
                <w:color w:val="auto"/>
                <w:sz w:val="24"/>
                <w:szCs w:val="24"/>
                <w:highlight w:val="none"/>
                <w:lang w:eastAsia="zh-CN"/>
              </w:rPr>
              <w:t>报价每低于评标基准价一个百分点的扣分值，E2＝0.</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p>
          <w:p w14:paraId="78C72CA7">
            <w:pPr>
              <w:jc w:val="both"/>
              <w:rPr>
                <w:rFonts w:hint="eastAsia" w:ascii="宋体" w:hAnsi="宋体" w:cs="宋体"/>
                <w:color w:val="auto"/>
                <w:kern w:val="0"/>
                <w:sz w:val="24"/>
                <w:szCs w:val="24"/>
                <w:highlight w:val="none"/>
              </w:rPr>
            </w:pPr>
            <w:r>
              <w:rPr>
                <w:rFonts w:hint="eastAsia" w:ascii="宋体" w:hAnsi="宋体" w:cs="宋体"/>
                <w:color w:val="auto"/>
                <w:sz w:val="24"/>
                <w:szCs w:val="24"/>
                <w:highlight w:val="none"/>
                <w:lang w:val="en-US" w:eastAsia="zh-CN"/>
              </w:rPr>
              <w:t>评标</w:t>
            </w:r>
            <w:r>
              <w:rPr>
                <w:rFonts w:hint="eastAsia" w:ascii="宋体" w:hAnsi="宋体" w:eastAsia="宋体" w:cs="宋体"/>
                <w:color w:val="auto"/>
                <w:sz w:val="24"/>
                <w:szCs w:val="24"/>
                <w:highlight w:val="none"/>
                <w:lang w:eastAsia="zh-CN"/>
              </w:rPr>
              <w:t>价最低得分为0分。</w:t>
            </w:r>
            <w:r>
              <w:rPr>
                <w:rFonts w:hint="eastAsia" w:ascii="宋体" w:hAnsi="宋体" w:cs="宋体"/>
                <w:color w:val="auto"/>
                <w:sz w:val="24"/>
                <w:szCs w:val="24"/>
                <w:highlight w:val="none"/>
                <w:lang w:val="en-US" w:eastAsia="zh-CN"/>
              </w:rPr>
              <w:t>评标</w:t>
            </w:r>
            <w:r>
              <w:rPr>
                <w:rFonts w:hint="eastAsia" w:ascii="宋体" w:hAnsi="宋体" w:eastAsia="宋体" w:cs="宋体"/>
                <w:color w:val="auto"/>
                <w:sz w:val="24"/>
                <w:szCs w:val="24"/>
                <w:highlight w:val="none"/>
                <w:lang w:eastAsia="zh-CN"/>
              </w:rPr>
              <w:t>报价得分保留小数点后两位，小数点后第三位“四舍五入”。</w:t>
            </w:r>
          </w:p>
        </w:tc>
      </w:tr>
    </w:tbl>
    <w:p w14:paraId="4FFEC203">
      <w:pPr>
        <w:pStyle w:val="16"/>
        <w:adjustRightInd w:val="0"/>
        <w:snapToGrid w:val="0"/>
        <w:spacing w:line="360" w:lineRule="auto"/>
        <w:jc w:val="left"/>
        <w:textAlignment w:val="baseline"/>
        <w:rPr>
          <w:rFonts w:hAnsi="宋体"/>
          <w:snapToGrid w:val="0"/>
          <w:color w:val="auto"/>
          <w:kern w:val="0"/>
          <w:sz w:val="24"/>
          <w:szCs w:val="24"/>
          <w:highlight w:val="none"/>
        </w:rPr>
      </w:pPr>
      <w:r>
        <w:rPr>
          <w:rFonts w:hAnsi="宋体"/>
          <w:snapToGrid w:val="0"/>
          <w:color w:val="auto"/>
          <w:kern w:val="0"/>
          <w:sz w:val="24"/>
          <w:szCs w:val="24"/>
          <w:highlight w:val="none"/>
        </w:rPr>
        <w:t>注：</w:t>
      </w:r>
    </w:p>
    <w:p w14:paraId="1D4A4BA4">
      <w:pPr>
        <w:pStyle w:val="16"/>
        <w:adjustRightInd w:val="0"/>
        <w:snapToGrid w:val="0"/>
        <w:spacing w:line="360" w:lineRule="auto"/>
        <w:jc w:val="left"/>
        <w:textAlignment w:val="baseline"/>
        <w:rPr>
          <w:rFonts w:hAnsi="宋体"/>
          <w:snapToGrid w:val="0"/>
          <w:color w:val="auto"/>
          <w:kern w:val="0"/>
          <w:sz w:val="24"/>
          <w:szCs w:val="24"/>
          <w:highlight w:val="none"/>
        </w:rPr>
      </w:pPr>
      <w:r>
        <w:rPr>
          <w:rFonts w:hAnsi="宋体"/>
          <w:snapToGrid w:val="0"/>
          <w:color w:val="auto"/>
          <w:kern w:val="0"/>
          <w:sz w:val="24"/>
          <w:szCs w:val="24"/>
          <w:highlight w:val="none"/>
        </w:rPr>
        <w:t>1、评委打分保留1位小数</w:t>
      </w:r>
      <w:r>
        <w:rPr>
          <w:rFonts w:hint="eastAsia" w:hAnsi="宋体"/>
          <w:snapToGrid w:val="0"/>
          <w:color w:val="auto"/>
          <w:kern w:val="0"/>
          <w:sz w:val="24"/>
          <w:szCs w:val="24"/>
          <w:highlight w:val="none"/>
        </w:rPr>
        <w:t>，各评分因素得分应以评标委员会各成员的打分平均值确定，保留两位小数，第三位四舍五入。</w:t>
      </w:r>
    </w:p>
    <w:p w14:paraId="5BB97E57">
      <w:pPr>
        <w:pStyle w:val="16"/>
        <w:adjustRightInd w:val="0"/>
        <w:snapToGrid w:val="0"/>
        <w:spacing w:line="360" w:lineRule="auto"/>
        <w:jc w:val="left"/>
        <w:textAlignment w:val="baseline"/>
        <w:rPr>
          <w:rFonts w:hint="eastAsia"/>
          <w:highlight w:val="none"/>
          <w:lang w:eastAsia="zh-CN"/>
        </w:rPr>
      </w:pPr>
      <w:r>
        <w:rPr>
          <w:rFonts w:hAnsi="宋体"/>
          <w:snapToGrid w:val="0"/>
          <w:color w:val="auto"/>
          <w:kern w:val="0"/>
          <w:sz w:val="24"/>
          <w:szCs w:val="24"/>
          <w:highlight w:val="none"/>
        </w:rPr>
        <w:t>2、</w:t>
      </w:r>
      <w:r>
        <w:rPr>
          <w:rFonts w:hint="eastAsia" w:hAnsi="宋体"/>
          <w:snapToGrid w:val="0"/>
          <w:color w:val="auto"/>
          <w:kern w:val="0"/>
          <w:sz w:val="24"/>
          <w:szCs w:val="24"/>
          <w:highlight w:val="none"/>
          <w:lang w:val="zh-CN"/>
        </w:rPr>
        <w:t>评标委员会成员对某一项评分因素的评分低于权重分值 60%的，应在评标报告中作出说明。评审因素</w:t>
      </w:r>
      <w:r>
        <w:rPr>
          <w:rFonts w:hint="eastAsia" w:hAnsi="宋体"/>
          <w:snapToGrid w:val="0"/>
          <w:color w:val="auto"/>
          <w:kern w:val="0"/>
          <w:sz w:val="24"/>
          <w:szCs w:val="24"/>
          <w:highlight w:val="none"/>
          <w:lang w:val="en-US" w:eastAsia="zh-CN"/>
        </w:rPr>
        <w:t>细项</w:t>
      </w:r>
      <w:r>
        <w:rPr>
          <w:rFonts w:hint="eastAsia" w:hAnsi="宋体"/>
          <w:snapToGrid w:val="0"/>
          <w:color w:val="auto"/>
          <w:kern w:val="0"/>
          <w:sz w:val="24"/>
          <w:szCs w:val="24"/>
          <w:highlight w:val="none"/>
          <w:lang w:val="zh-CN"/>
        </w:rPr>
        <w:t>缺项则该项得0分</w:t>
      </w:r>
      <w:bookmarkStart w:id="19" w:name="_GoBack"/>
      <w:bookmarkEnd w:id="19"/>
    </w:p>
    <w:sectPr>
      <w:headerReference r:id="rId4" w:type="first"/>
      <w:footerReference r:id="rId6" w:type="first"/>
      <w:headerReference r:id="rId3" w:type="default"/>
      <w:footerReference r:id="rId5" w:type="default"/>
      <w:pgSz w:w="11907" w:h="16840"/>
      <w:pgMar w:top="1361" w:right="1361" w:bottom="1361" w:left="1361" w:header="851" w:footer="794" w:gutter="0"/>
      <w:pgNumType w:fmt="numberInDash"/>
      <w:cols w:space="720"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crosoft JhengHei">
    <w:panose1 w:val="020B0604030504040204"/>
    <w:charset w:val="88"/>
    <w:family w:val="swiss"/>
    <w:pitch w:val="default"/>
    <w:sig w:usb0="000002A7" w:usb1="28CF4400" w:usb2="00000016" w:usb3="00000000" w:csb0="00100009"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大黑简体">
    <w:altName w:val="宋体"/>
    <w:panose1 w:val="00000000000000000000"/>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C28AB">
    <w:pPr>
      <w:pStyle w:val="1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462DB43">
                          <w:pPr>
                            <w:pStyle w:val="18"/>
                            <w:jc w:val="center"/>
                          </w:pPr>
                          <w:r>
                            <w:fldChar w:fldCharType="begin"/>
                          </w:r>
                          <w:r>
                            <w:instrText xml:space="preserve"> PAGE  \* MERGEFORMAT </w:instrText>
                          </w:r>
                          <w:r>
                            <w:fldChar w:fldCharType="separate"/>
                          </w:r>
                          <w:r>
                            <w:t>- 79 -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3462DB43">
                    <w:pPr>
                      <w:pStyle w:val="18"/>
                      <w:jc w:val="center"/>
                    </w:pPr>
                    <w:r>
                      <w:fldChar w:fldCharType="begin"/>
                    </w:r>
                    <w:r>
                      <w:instrText xml:space="preserve"> PAGE  \* MERGEFORMAT </w:instrText>
                    </w:r>
                    <w:r>
                      <w:fldChar w:fldCharType="separate"/>
                    </w:r>
                    <w:r>
                      <w:t>- 79 -</w:t>
                    </w:r>
                    <w:r>
                      <w:fldChar w:fldCharType="end"/>
                    </w:r>
                  </w:p>
                </w:txbxContent>
              </v:textbox>
            </v:shape>
          </w:pict>
        </mc:Fallback>
      </mc:AlternateContent>
    </w:r>
  </w:p>
  <w:p w14:paraId="1F67B68B">
    <w:pPr>
      <w:pStyle w:val="2"/>
      <w:spacing w:line="14" w:lineRule="auto"/>
      <w:rPr>
        <w:sz w:val="20"/>
      </w:rPr>
    </w:pPr>
  </w:p>
  <w:p w14:paraId="7B3696E5">
    <w:pPr>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A37DEF">
    <w:pPr>
      <w:pStyle w:val="18"/>
      <w:ind w:firstLine="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843B3A">
                          <w:pPr>
                            <w:pStyle w:val="18"/>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6843B3A">
                    <w:pPr>
                      <w:pStyle w:val="18"/>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2E6A5B">
    <w:pPr>
      <w:pStyle w:val="19"/>
    </w:pPr>
    <w:r>
      <w:rPr>
        <w:rFonts w:hint="eastAsia"/>
        <w:lang w:eastAsia="zh-CN"/>
      </w:rPr>
      <w:t>河北高速恒质公路建设集团有限公司</w:t>
    </w:r>
    <w:r>
      <w:rPr>
        <w:rFonts w:hint="eastAsia"/>
      </w:rPr>
      <w:t>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61723A">
    <w:pPr>
      <w:pStyle w:val="19"/>
    </w:pPr>
    <w:r>
      <w:rPr>
        <w:rFonts w:hint="eastAsia"/>
        <w:lang w:eastAsia="zh-CN"/>
      </w:rPr>
      <w:t>河北高速恒质公路建设集团有限公司</w:t>
    </w:r>
    <w:r>
      <w:rPr>
        <w:rFonts w:hint="eastAsia"/>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EA7704"/>
    <w:multiLevelType w:val="singleLevel"/>
    <w:tmpl w:val="B9EA7704"/>
    <w:lvl w:ilvl="0" w:tentative="0">
      <w:start w:val="1"/>
      <w:numFmt w:val="decimal"/>
      <w:pStyle w:val="17"/>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3MGYxYjVjNGRiNzRhMDlmNjQxZmY1MWI4OTQ5NWUifQ=="/>
  </w:docVars>
  <w:rsids>
    <w:rsidRoot w:val="79844705"/>
    <w:rsid w:val="0046550B"/>
    <w:rsid w:val="00F731C1"/>
    <w:rsid w:val="0103782F"/>
    <w:rsid w:val="010F4854"/>
    <w:rsid w:val="018D292A"/>
    <w:rsid w:val="02AF7D28"/>
    <w:rsid w:val="033F29FA"/>
    <w:rsid w:val="036248F7"/>
    <w:rsid w:val="04173348"/>
    <w:rsid w:val="04657D11"/>
    <w:rsid w:val="04A34E1D"/>
    <w:rsid w:val="04F64357"/>
    <w:rsid w:val="05030321"/>
    <w:rsid w:val="055D3C85"/>
    <w:rsid w:val="05AC0CD2"/>
    <w:rsid w:val="05AC0ED6"/>
    <w:rsid w:val="06137CC2"/>
    <w:rsid w:val="064D1EFE"/>
    <w:rsid w:val="06700516"/>
    <w:rsid w:val="06C73D4E"/>
    <w:rsid w:val="08DB3F58"/>
    <w:rsid w:val="092E13EE"/>
    <w:rsid w:val="0A40381D"/>
    <w:rsid w:val="0B59720D"/>
    <w:rsid w:val="0BB77BEF"/>
    <w:rsid w:val="0BBE12AE"/>
    <w:rsid w:val="0C511136"/>
    <w:rsid w:val="0CAF1F8F"/>
    <w:rsid w:val="0E3F073D"/>
    <w:rsid w:val="0E52260E"/>
    <w:rsid w:val="114809B7"/>
    <w:rsid w:val="12DE1D27"/>
    <w:rsid w:val="13900351"/>
    <w:rsid w:val="13A40A55"/>
    <w:rsid w:val="14C10B29"/>
    <w:rsid w:val="153F7F5B"/>
    <w:rsid w:val="15433360"/>
    <w:rsid w:val="1587457B"/>
    <w:rsid w:val="15BC3CE4"/>
    <w:rsid w:val="16005D04"/>
    <w:rsid w:val="161C373C"/>
    <w:rsid w:val="16782746"/>
    <w:rsid w:val="167B47B4"/>
    <w:rsid w:val="169866B9"/>
    <w:rsid w:val="17697872"/>
    <w:rsid w:val="18860743"/>
    <w:rsid w:val="198A7DBF"/>
    <w:rsid w:val="1A132DC1"/>
    <w:rsid w:val="1BB86BD4"/>
    <w:rsid w:val="1BCC2910"/>
    <w:rsid w:val="1C762E48"/>
    <w:rsid w:val="1CA20C86"/>
    <w:rsid w:val="1CA7512B"/>
    <w:rsid w:val="1CA83640"/>
    <w:rsid w:val="1CE51984"/>
    <w:rsid w:val="1D8E3420"/>
    <w:rsid w:val="1FDF7113"/>
    <w:rsid w:val="20673A8C"/>
    <w:rsid w:val="20B00A53"/>
    <w:rsid w:val="215F5E4C"/>
    <w:rsid w:val="218F5EF2"/>
    <w:rsid w:val="22162CA6"/>
    <w:rsid w:val="222430DE"/>
    <w:rsid w:val="231E64F3"/>
    <w:rsid w:val="24B45915"/>
    <w:rsid w:val="25DA3E7C"/>
    <w:rsid w:val="260D289B"/>
    <w:rsid w:val="26515B33"/>
    <w:rsid w:val="26CC3204"/>
    <w:rsid w:val="26F251F5"/>
    <w:rsid w:val="26FA0720"/>
    <w:rsid w:val="272642EE"/>
    <w:rsid w:val="27C111E6"/>
    <w:rsid w:val="27FE48F6"/>
    <w:rsid w:val="28C22D40"/>
    <w:rsid w:val="29600777"/>
    <w:rsid w:val="29C54E43"/>
    <w:rsid w:val="2A12690A"/>
    <w:rsid w:val="2A365881"/>
    <w:rsid w:val="2A551143"/>
    <w:rsid w:val="2A992557"/>
    <w:rsid w:val="2AB51836"/>
    <w:rsid w:val="2AF3300C"/>
    <w:rsid w:val="2C027343"/>
    <w:rsid w:val="2CBA6471"/>
    <w:rsid w:val="2D55028C"/>
    <w:rsid w:val="2DB858EB"/>
    <w:rsid w:val="2DE47F8D"/>
    <w:rsid w:val="2E36630F"/>
    <w:rsid w:val="2EFB7671"/>
    <w:rsid w:val="2F211AA1"/>
    <w:rsid w:val="2F8A58AC"/>
    <w:rsid w:val="2FB33B63"/>
    <w:rsid w:val="30253FF7"/>
    <w:rsid w:val="306C6018"/>
    <w:rsid w:val="30BE30FB"/>
    <w:rsid w:val="312F6401"/>
    <w:rsid w:val="32D9106B"/>
    <w:rsid w:val="34FD371F"/>
    <w:rsid w:val="3527091F"/>
    <w:rsid w:val="353C41FE"/>
    <w:rsid w:val="3575596F"/>
    <w:rsid w:val="35B03007"/>
    <w:rsid w:val="3608606C"/>
    <w:rsid w:val="36F827BC"/>
    <w:rsid w:val="37484EAE"/>
    <w:rsid w:val="37C62813"/>
    <w:rsid w:val="3891327E"/>
    <w:rsid w:val="390C7C21"/>
    <w:rsid w:val="39602E17"/>
    <w:rsid w:val="3AA43829"/>
    <w:rsid w:val="3AEC3D2F"/>
    <w:rsid w:val="3BF319A8"/>
    <w:rsid w:val="3C734D99"/>
    <w:rsid w:val="3C894E2B"/>
    <w:rsid w:val="3C8F37BA"/>
    <w:rsid w:val="3D5C54C6"/>
    <w:rsid w:val="3DEE7BA9"/>
    <w:rsid w:val="3E502D1B"/>
    <w:rsid w:val="3F1254FF"/>
    <w:rsid w:val="3F2A5D03"/>
    <w:rsid w:val="3F5462F2"/>
    <w:rsid w:val="3F77453A"/>
    <w:rsid w:val="4042281D"/>
    <w:rsid w:val="40E23A1F"/>
    <w:rsid w:val="4135036A"/>
    <w:rsid w:val="41406119"/>
    <w:rsid w:val="41FF6CEC"/>
    <w:rsid w:val="421F4F76"/>
    <w:rsid w:val="42C4784B"/>
    <w:rsid w:val="443864E5"/>
    <w:rsid w:val="44D55E5D"/>
    <w:rsid w:val="45856B10"/>
    <w:rsid w:val="45CF6B44"/>
    <w:rsid w:val="45F4643C"/>
    <w:rsid w:val="461458A0"/>
    <w:rsid w:val="466456F1"/>
    <w:rsid w:val="467375FE"/>
    <w:rsid w:val="46ED7A5B"/>
    <w:rsid w:val="477B5EE3"/>
    <w:rsid w:val="488D3BD7"/>
    <w:rsid w:val="493B6CE5"/>
    <w:rsid w:val="4A0D4DC1"/>
    <w:rsid w:val="4A9B791A"/>
    <w:rsid w:val="4B1502F8"/>
    <w:rsid w:val="4B6F02FF"/>
    <w:rsid w:val="4BBB5D94"/>
    <w:rsid w:val="4BD146C5"/>
    <w:rsid w:val="4BE34D31"/>
    <w:rsid w:val="4BFD12C0"/>
    <w:rsid w:val="4C080E93"/>
    <w:rsid w:val="4C475365"/>
    <w:rsid w:val="4C826040"/>
    <w:rsid w:val="4C877E9B"/>
    <w:rsid w:val="4CAA4570"/>
    <w:rsid w:val="4D720CBA"/>
    <w:rsid w:val="4E571EFA"/>
    <w:rsid w:val="4E8C7CB8"/>
    <w:rsid w:val="4EE554BC"/>
    <w:rsid w:val="4F077306"/>
    <w:rsid w:val="50197DA0"/>
    <w:rsid w:val="50C60039"/>
    <w:rsid w:val="51687B00"/>
    <w:rsid w:val="520E773B"/>
    <w:rsid w:val="523E7F87"/>
    <w:rsid w:val="54800E47"/>
    <w:rsid w:val="56D85CBD"/>
    <w:rsid w:val="57DE0CFA"/>
    <w:rsid w:val="580F5E6B"/>
    <w:rsid w:val="59B14CE8"/>
    <w:rsid w:val="59E36A9C"/>
    <w:rsid w:val="59E54E9F"/>
    <w:rsid w:val="59F837E6"/>
    <w:rsid w:val="5A241002"/>
    <w:rsid w:val="5A2C2D27"/>
    <w:rsid w:val="5A5B692D"/>
    <w:rsid w:val="5A7C16A7"/>
    <w:rsid w:val="5A9E4463"/>
    <w:rsid w:val="5C00495F"/>
    <w:rsid w:val="5C367357"/>
    <w:rsid w:val="5C905045"/>
    <w:rsid w:val="5D3A2E77"/>
    <w:rsid w:val="5D9F221C"/>
    <w:rsid w:val="5EAC4EF1"/>
    <w:rsid w:val="5EC40C4A"/>
    <w:rsid w:val="5F6B37BB"/>
    <w:rsid w:val="5F846214"/>
    <w:rsid w:val="5FB20F0C"/>
    <w:rsid w:val="60062013"/>
    <w:rsid w:val="60376C67"/>
    <w:rsid w:val="605A6C60"/>
    <w:rsid w:val="607B17DC"/>
    <w:rsid w:val="615E17A9"/>
    <w:rsid w:val="62C84A81"/>
    <w:rsid w:val="63FD14EC"/>
    <w:rsid w:val="650322EC"/>
    <w:rsid w:val="654A2D97"/>
    <w:rsid w:val="65A304F3"/>
    <w:rsid w:val="65A76BCF"/>
    <w:rsid w:val="65BD27B2"/>
    <w:rsid w:val="66357066"/>
    <w:rsid w:val="664426C4"/>
    <w:rsid w:val="66693279"/>
    <w:rsid w:val="67462D47"/>
    <w:rsid w:val="677432C7"/>
    <w:rsid w:val="68426FC3"/>
    <w:rsid w:val="6A3E6FCA"/>
    <w:rsid w:val="6AA11BE9"/>
    <w:rsid w:val="6AAC0005"/>
    <w:rsid w:val="6C5D685E"/>
    <w:rsid w:val="6C852B4E"/>
    <w:rsid w:val="6C9360FF"/>
    <w:rsid w:val="6CC60B24"/>
    <w:rsid w:val="6D986253"/>
    <w:rsid w:val="6DB65D73"/>
    <w:rsid w:val="6E4F75A1"/>
    <w:rsid w:val="6FC35194"/>
    <w:rsid w:val="702576AC"/>
    <w:rsid w:val="72442376"/>
    <w:rsid w:val="733F2EED"/>
    <w:rsid w:val="73881BF8"/>
    <w:rsid w:val="742A023C"/>
    <w:rsid w:val="743E4932"/>
    <w:rsid w:val="74824ACB"/>
    <w:rsid w:val="74992928"/>
    <w:rsid w:val="74F257AB"/>
    <w:rsid w:val="750E57FB"/>
    <w:rsid w:val="75DD52DE"/>
    <w:rsid w:val="75E941E6"/>
    <w:rsid w:val="761A1195"/>
    <w:rsid w:val="762A44F2"/>
    <w:rsid w:val="762E1A47"/>
    <w:rsid w:val="768371E5"/>
    <w:rsid w:val="76CC2138"/>
    <w:rsid w:val="772938E8"/>
    <w:rsid w:val="777F79AC"/>
    <w:rsid w:val="786F5C73"/>
    <w:rsid w:val="78C64A17"/>
    <w:rsid w:val="79644969"/>
    <w:rsid w:val="79844705"/>
    <w:rsid w:val="7A833316"/>
    <w:rsid w:val="7CC36849"/>
    <w:rsid w:val="7CC75DDC"/>
    <w:rsid w:val="7D675751"/>
    <w:rsid w:val="7DA820C4"/>
    <w:rsid w:val="7EC12D03"/>
    <w:rsid w:val="7EF660EE"/>
    <w:rsid w:val="7F8717D5"/>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0" w:name="heading 5"/>
    <w:lsdException w:qFormat="1" w:unhideWhenUsed="0" w:uiPriority="9"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iPriority="99" w:semiHidden="0" w:name="Body Text Indent"/>
    <w:lsdException w:qFormat="1" w:uiPriority="99"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4">
    <w:name w:val="heading 1"/>
    <w:basedOn w:val="1"/>
    <w:next w:val="1"/>
    <w:autoRedefine/>
    <w:qFormat/>
    <w:uiPriority w:val="0"/>
    <w:pPr>
      <w:keepNext/>
      <w:keepLines/>
      <w:spacing w:line="360" w:lineRule="auto"/>
      <w:jc w:val="center"/>
      <w:outlineLvl w:val="0"/>
    </w:pPr>
    <w:rPr>
      <w:rFonts w:ascii="Times New Roman" w:hAnsi="Times New Roman"/>
      <w:b/>
      <w:bCs/>
      <w:kern w:val="44"/>
      <w:sz w:val="44"/>
      <w:szCs w:val="44"/>
    </w:rPr>
  </w:style>
  <w:style w:type="paragraph" w:styleId="5">
    <w:name w:val="heading 2"/>
    <w:basedOn w:val="1"/>
    <w:next w:val="1"/>
    <w:autoRedefine/>
    <w:qFormat/>
    <w:uiPriority w:val="9"/>
    <w:pPr>
      <w:keepNext/>
      <w:keepLines/>
      <w:spacing w:before="260" w:after="260" w:line="416" w:lineRule="auto"/>
      <w:jc w:val="center"/>
      <w:outlineLvl w:val="1"/>
    </w:pPr>
    <w:rPr>
      <w:rFonts w:ascii="Cambria" w:hAnsi="Cambria"/>
      <w:b/>
      <w:bCs/>
      <w:sz w:val="32"/>
      <w:szCs w:val="32"/>
    </w:rPr>
  </w:style>
  <w:style w:type="paragraph" w:styleId="6">
    <w:name w:val="heading 3"/>
    <w:basedOn w:val="1"/>
    <w:next w:val="1"/>
    <w:autoRedefine/>
    <w:qFormat/>
    <w:uiPriority w:val="9"/>
    <w:pPr>
      <w:keepNext/>
      <w:keepLines/>
      <w:spacing w:before="50" w:beforeLines="50" w:line="415" w:lineRule="auto"/>
      <w:outlineLvl w:val="2"/>
    </w:pPr>
    <w:rPr>
      <w:b/>
      <w:bCs/>
      <w:sz w:val="32"/>
      <w:szCs w:val="32"/>
    </w:rPr>
  </w:style>
  <w:style w:type="paragraph" w:styleId="7">
    <w:name w:val="heading 4"/>
    <w:basedOn w:val="1"/>
    <w:next w:val="1"/>
    <w:autoRedefine/>
    <w:qFormat/>
    <w:uiPriority w:val="9"/>
    <w:pPr>
      <w:keepNext/>
      <w:keepLines/>
      <w:spacing w:before="120" w:line="377" w:lineRule="auto"/>
      <w:outlineLvl w:val="3"/>
    </w:pPr>
    <w:rPr>
      <w:rFonts w:ascii="Cambria" w:hAnsi="Cambria"/>
      <w:b/>
      <w:bCs/>
      <w:sz w:val="28"/>
      <w:szCs w:val="28"/>
    </w:rPr>
  </w:style>
  <w:style w:type="paragraph" w:styleId="8">
    <w:name w:val="heading 6"/>
    <w:basedOn w:val="1"/>
    <w:next w:val="1"/>
    <w:autoRedefine/>
    <w:qFormat/>
    <w:uiPriority w:val="9"/>
    <w:pPr>
      <w:keepNext/>
      <w:keepLines/>
      <w:spacing w:before="240" w:after="64" w:line="320" w:lineRule="auto"/>
      <w:outlineLvl w:val="5"/>
    </w:pPr>
    <w:rPr>
      <w:rFonts w:ascii="等线 Light" w:hAnsi="等线 Light" w:eastAsia="等线 Light" w:cs="Times New Roman"/>
      <w:b/>
      <w:bCs/>
      <w:sz w:val="24"/>
      <w:szCs w:val="24"/>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autoRedefine/>
    <w:qFormat/>
    <w:uiPriority w:val="1"/>
    <w:pPr>
      <w:ind w:left="100"/>
      <w:jc w:val="left"/>
    </w:pPr>
    <w:rPr>
      <w:rFonts w:ascii="宋体" w:hAnsi="宋体" w:cs="Times New Roman"/>
      <w:kern w:val="0"/>
      <w:szCs w:val="21"/>
      <w:lang w:eastAsia="en-US"/>
    </w:rPr>
  </w:style>
  <w:style w:type="paragraph" w:styleId="3">
    <w:name w:val="Body Text 2"/>
    <w:basedOn w:val="1"/>
    <w:next w:val="1"/>
    <w:autoRedefine/>
    <w:qFormat/>
    <w:uiPriority w:val="0"/>
    <w:rPr>
      <w:rFonts w:ascii="宋体" w:hAnsi="宋体" w:eastAsia="Times New Roman"/>
      <w:sz w:val="28"/>
    </w:rPr>
  </w:style>
  <w:style w:type="paragraph" w:styleId="9">
    <w:name w:val="table of authorities"/>
    <w:basedOn w:val="1"/>
    <w:next w:val="1"/>
    <w:autoRedefine/>
    <w:semiHidden/>
    <w:qFormat/>
    <w:uiPriority w:val="0"/>
    <w:pPr>
      <w:spacing w:line="480" w:lineRule="exact"/>
      <w:ind w:left="420" w:leftChars="200"/>
      <w:jc w:val="both"/>
    </w:pPr>
    <w:rPr>
      <w:rFonts w:ascii="Times New Roman" w:hAnsi="Times New Roman" w:eastAsia="宋体" w:cs="Times New Roman"/>
      <w:kern w:val="2"/>
      <w:sz w:val="24"/>
      <w:szCs w:val="24"/>
      <w:lang w:eastAsia="zh-CN"/>
    </w:rPr>
  </w:style>
  <w:style w:type="paragraph" w:styleId="10">
    <w:name w:val="toa heading"/>
    <w:basedOn w:val="1"/>
    <w:next w:val="1"/>
    <w:autoRedefine/>
    <w:unhideWhenUsed/>
    <w:qFormat/>
    <w:uiPriority w:val="99"/>
    <w:pPr>
      <w:spacing w:before="120"/>
      <w:ind w:firstLine="560" w:firstLineChars="200"/>
    </w:pPr>
    <w:rPr>
      <w:rFonts w:ascii="Cambria" w:hAnsi="Cambria"/>
      <w:szCs w:val="24"/>
    </w:rPr>
  </w:style>
  <w:style w:type="paragraph" w:styleId="11">
    <w:name w:val="annotation text"/>
    <w:basedOn w:val="1"/>
    <w:next w:val="9"/>
    <w:autoRedefine/>
    <w:qFormat/>
    <w:uiPriority w:val="0"/>
    <w:pPr>
      <w:jc w:val="left"/>
    </w:pPr>
    <w:rPr>
      <w:rFonts w:ascii="宋体" w:hAnsi="宋体"/>
      <w:sz w:val="24"/>
      <w:szCs w:val="24"/>
    </w:rPr>
  </w:style>
  <w:style w:type="paragraph" w:styleId="12">
    <w:name w:val="Body Text Indent"/>
    <w:basedOn w:val="1"/>
    <w:autoRedefine/>
    <w:unhideWhenUsed/>
    <w:qFormat/>
    <w:uiPriority w:val="99"/>
    <w:pPr>
      <w:spacing w:after="120"/>
      <w:ind w:left="420" w:leftChars="200"/>
    </w:pPr>
  </w:style>
  <w:style w:type="paragraph" w:styleId="13">
    <w:name w:val="List Continue"/>
    <w:basedOn w:val="1"/>
    <w:next w:val="14"/>
    <w:autoRedefine/>
    <w:unhideWhenUsed/>
    <w:qFormat/>
    <w:uiPriority w:val="99"/>
    <w:pPr>
      <w:spacing w:after="120"/>
      <w:ind w:left="420" w:leftChars="200"/>
      <w:contextualSpacing/>
      <w:jc w:val="left"/>
    </w:pPr>
    <w:rPr>
      <w:rFonts w:ascii="Calibri" w:hAnsi="Calibri" w:eastAsia="宋体" w:cs="Times New Roman"/>
      <w:kern w:val="0"/>
      <w:sz w:val="22"/>
      <w:lang w:eastAsia="en-US"/>
    </w:rPr>
  </w:style>
  <w:style w:type="paragraph" w:styleId="14">
    <w:name w:val="Body Text First Indent"/>
    <w:basedOn w:val="2"/>
    <w:autoRedefine/>
    <w:qFormat/>
    <w:uiPriority w:val="0"/>
    <w:pPr>
      <w:ind w:firstLine="420" w:firstLineChars="100"/>
    </w:pPr>
  </w:style>
  <w:style w:type="paragraph" w:styleId="15">
    <w:name w:val="toc 3"/>
    <w:basedOn w:val="1"/>
    <w:next w:val="1"/>
    <w:autoRedefine/>
    <w:unhideWhenUsed/>
    <w:qFormat/>
    <w:uiPriority w:val="39"/>
    <w:pPr>
      <w:ind w:left="840" w:leftChars="400"/>
    </w:pPr>
  </w:style>
  <w:style w:type="paragraph" w:styleId="16">
    <w:name w:val="Plain Text"/>
    <w:basedOn w:val="1"/>
    <w:next w:val="17"/>
    <w:autoRedefine/>
    <w:qFormat/>
    <w:uiPriority w:val="0"/>
    <w:rPr>
      <w:rFonts w:ascii="宋体" w:hAnsi="Courier New"/>
      <w:szCs w:val="20"/>
    </w:rPr>
  </w:style>
  <w:style w:type="paragraph" w:styleId="17">
    <w:name w:val="List Number 5"/>
    <w:basedOn w:val="1"/>
    <w:autoRedefine/>
    <w:qFormat/>
    <w:uiPriority w:val="0"/>
    <w:pPr>
      <w:numPr>
        <w:ilvl w:val="0"/>
        <w:numId w:val="1"/>
      </w:numPr>
    </w:pPr>
  </w:style>
  <w:style w:type="paragraph" w:styleId="18">
    <w:name w:val="footer"/>
    <w:basedOn w:val="1"/>
    <w:autoRedefine/>
    <w:unhideWhenUsed/>
    <w:qFormat/>
    <w:uiPriority w:val="99"/>
    <w:pPr>
      <w:tabs>
        <w:tab w:val="center" w:pos="4153"/>
        <w:tab w:val="right" w:pos="8306"/>
      </w:tabs>
      <w:snapToGrid w:val="0"/>
      <w:jc w:val="left"/>
    </w:pPr>
    <w:rPr>
      <w:kern w:val="0"/>
      <w:sz w:val="18"/>
      <w:szCs w:val="18"/>
    </w:rPr>
  </w:style>
  <w:style w:type="paragraph" w:styleId="19">
    <w:name w:val="header"/>
    <w:basedOn w:val="1"/>
    <w:autoRedefine/>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0">
    <w:name w:val="toc 1"/>
    <w:basedOn w:val="1"/>
    <w:next w:val="1"/>
    <w:autoRedefine/>
    <w:unhideWhenUsed/>
    <w:qFormat/>
    <w:uiPriority w:val="39"/>
  </w:style>
  <w:style w:type="paragraph" w:styleId="21">
    <w:name w:val="toc 2"/>
    <w:basedOn w:val="1"/>
    <w:next w:val="1"/>
    <w:autoRedefine/>
    <w:unhideWhenUsed/>
    <w:qFormat/>
    <w:uiPriority w:val="39"/>
    <w:pPr>
      <w:ind w:left="420" w:leftChars="200"/>
    </w:pPr>
  </w:style>
  <w:style w:type="paragraph" w:styleId="22">
    <w:name w:val="Normal (Web)"/>
    <w:basedOn w:val="1"/>
    <w:autoRedefine/>
    <w:unhideWhenUsed/>
    <w:qFormat/>
    <w:uiPriority w:val="0"/>
    <w:pPr>
      <w:widowControl/>
      <w:spacing w:before="100" w:beforeAutospacing="1" w:after="100" w:afterAutospacing="1"/>
      <w:jc w:val="left"/>
    </w:pPr>
    <w:rPr>
      <w:rFonts w:ascii="宋体" w:hAnsi="宋体" w:cs="宋体"/>
      <w:kern w:val="0"/>
      <w:sz w:val="24"/>
      <w:szCs w:val="24"/>
    </w:rPr>
  </w:style>
  <w:style w:type="paragraph" w:styleId="23">
    <w:name w:val="Body Text First Indent 2"/>
    <w:basedOn w:val="12"/>
    <w:autoRedefine/>
    <w:unhideWhenUsed/>
    <w:qFormat/>
    <w:uiPriority w:val="99"/>
    <w:pPr>
      <w:tabs>
        <w:tab w:val="left" w:pos="5580"/>
      </w:tabs>
      <w:ind w:left="420" w:leftChars="200" w:firstLine="420"/>
    </w:pPr>
    <w:rPr>
      <w:rFonts w:ascii="Times New Roman" w:hAnsi="Times New Roman"/>
      <w:sz w:val="21"/>
    </w:rPr>
  </w:style>
  <w:style w:type="table" w:styleId="25">
    <w:name w:val="Table Grid"/>
    <w:basedOn w:val="24"/>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Strong"/>
    <w:basedOn w:val="26"/>
    <w:autoRedefine/>
    <w:qFormat/>
    <w:uiPriority w:val="0"/>
    <w:rPr>
      <w:b/>
      <w:bCs/>
    </w:rPr>
  </w:style>
  <w:style w:type="character" w:styleId="28">
    <w:name w:val="page number"/>
    <w:autoRedefine/>
    <w:qFormat/>
    <w:uiPriority w:val="0"/>
  </w:style>
  <w:style w:type="character" w:styleId="29">
    <w:name w:val="FollowedHyperlink"/>
    <w:basedOn w:val="26"/>
    <w:autoRedefine/>
    <w:qFormat/>
    <w:uiPriority w:val="0"/>
    <w:rPr>
      <w:color w:val="800080"/>
      <w:u w:val="none"/>
    </w:rPr>
  </w:style>
  <w:style w:type="character" w:styleId="30">
    <w:name w:val="Emphasis"/>
    <w:basedOn w:val="26"/>
    <w:autoRedefine/>
    <w:qFormat/>
    <w:uiPriority w:val="0"/>
    <w:rPr>
      <w:b/>
      <w:bCs/>
    </w:rPr>
  </w:style>
  <w:style w:type="character" w:styleId="31">
    <w:name w:val="HTML Definition"/>
    <w:basedOn w:val="26"/>
    <w:autoRedefine/>
    <w:qFormat/>
    <w:uiPriority w:val="0"/>
  </w:style>
  <w:style w:type="character" w:styleId="32">
    <w:name w:val="HTML Typewriter"/>
    <w:basedOn w:val="26"/>
    <w:autoRedefine/>
    <w:qFormat/>
    <w:uiPriority w:val="0"/>
    <w:rPr>
      <w:rFonts w:hint="default" w:ascii="monospace" w:hAnsi="monospace" w:eastAsia="monospace" w:cs="monospace"/>
      <w:sz w:val="20"/>
    </w:rPr>
  </w:style>
  <w:style w:type="character" w:styleId="33">
    <w:name w:val="HTML Acronym"/>
    <w:basedOn w:val="26"/>
    <w:autoRedefine/>
    <w:qFormat/>
    <w:uiPriority w:val="0"/>
  </w:style>
  <w:style w:type="character" w:styleId="34">
    <w:name w:val="HTML Variable"/>
    <w:basedOn w:val="26"/>
    <w:autoRedefine/>
    <w:qFormat/>
    <w:uiPriority w:val="0"/>
  </w:style>
  <w:style w:type="character" w:styleId="35">
    <w:name w:val="Hyperlink"/>
    <w:basedOn w:val="26"/>
    <w:autoRedefine/>
    <w:unhideWhenUsed/>
    <w:qFormat/>
    <w:uiPriority w:val="99"/>
    <w:rPr>
      <w:color w:val="0000FF"/>
      <w:u w:val="none"/>
    </w:rPr>
  </w:style>
  <w:style w:type="character" w:styleId="36">
    <w:name w:val="HTML Code"/>
    <w:basedOn w:val="26"/>
    <w:autoRedefine/>
    <w:qFormat/>
    <w:uiPriority w:val="0"/>
    <w:rPr>
      <w:rFonts w:hint="default" w:ascii="monospace" w:hAnsi="monospace" w:eastAsia="monospace" w:cs="monospace"/>
      <w:sz w:val="20"/>
    </w:rPr>
  </w:style>
  <w:style w:type="character" w:styleId="37">
    <w:name w:val="HTML Cite"/>
    <w:basedOn w:val="26"/>
    <w:autoRedefine/>
    <w:qFormat/>
    <w:uiPriority w:val="0"/>
  </w:style>
  <w:style w:type="character" w:styleId="38">
    <w:name w:val="HTML Keyboard"/>
    <w:basedOn w:val="26"/>
    <w:autoRedefine/>
    <w:qFormat/>
    <w:uiPriority w:val="0"/>
    <w:rPr>
      <w:rFonts w:hint="default" w:ascii="monospace" w:hAnsi="monospace" w:eastAsia="monospace" w:cs="monospace"/>
      <w:sz w:val="20"/>
    </w:rPr>
  </w:style>
  <w:style w:type="character" w:styleId="39">
    <w:name w:val="HTML Sample"/>
    <w:basedOn w:val="26"/>
    <w:autoRedefine/>
    <w:qFormat/>
    <w:uiPriority w:val="0"/>
    <w:rPr>
      <w:rFonts w:ascii="monospace" w:hAnsi="monospace" w:eastAsia="monospace" w:cs="monospace"/>
    </w:rPr>
  </w:style>
  <w:style w:type="paragraph" w:customStyle="1" w:styleId="40">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41">
    <w:name w:val="1正文"/>
    <w:basedOn w:val="1"/>
    <w:autoRedefine/>
    <w:qFormat/>
    <w:uiPriority w:val="0"/>
    <w:pPr>
      <w:ind w:firstLine="480"/>
    </w:pPr>
    <w:rPr>
      <w:rFonts w:cs="宋体"/>
      <w:szCs w:val="24"/>
    </w:rPr>
  </w:style>
  <w:style w:type="paragraph" w:customStyle="1" w:styleId="42">
    <w:name w:val="Default"/>
    <w:autoRedefine/>
    <w:qFormat/>
    <w:uiPriority w:val="99"/>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43">
    <w:name w:val="大标题"/>
    <w:basedOn w:val="1"/>
    <w:next w:val="23"/>
    <w:autoRedefine/>
    <w:qFormat/>
    <w:uiPriority w:val="0"/>
    <w:pPr>
      <w:jc w:val="center"/>
    </w:pPr>
    <w:rPr>
      <w:rFonts w:ascii="Arial" w:hAnsi="Arial"/>
      <w:b/>
      <w:sz w:val="28"/>
    </w:rPr>
  </w:style>
  <w:style w:type="character" w:customStyle="1" w:styleId="44">
    <w:name w:val="NormalCharacter"/>
    <w:link w:val="45"/>
    <w:autoRedefine/>
    <w:qFormat/>
    <w:uiPriority w:val="0"/>
    <w:rPr>
      <w:kern w:val="0"/>
      <w:sz w:val="20"/>
      <w:szCs w:val="20"/>
    </w:rPr>
  </w:style>
  <w:style w:type="paragraph" w:customStyle="1" w:styleId="45">
    <w:name w:val="UserStyle_24"/>
    <w:basedOn w:val="1"/>
    <w:link w:val="44"/>
    <w:autoRedefine/>
    <w:qFormat/>
    <w:uiPriority w:val="0"/>
    <w:pPr>
      <w:widowControl/>
      <w:spacing w:line="360" w:lineRule="auto"/>
      <w:ind w:firstLine="200" w:firstLineChars="200"/>
      <w:jc w:val="left"/>
    </w:pPr>
    <w:rPr>
      <w:kern w:val="0"/>
      <w:sz w:val="20"/>
      <w:szCs w:val="20"/>
    </w:rPr>
  </w:style>
  <w:style w:type="paragraph" w:customStyle="1" w:styleId="46">
    <w:name w:val="UserStyle_340"/>
    <w:basedOn w:val="1"/>
    <w:autoRedefine/>
    <w:qFormat/>
    <w:uiPriority w:val="0"/>
    <w:pPr>
      <w:widowControl/>
      <w:spacing w:line="340" w:lineRule="exact"/>
      <w:jc w:val="center"/>
    </w:pPr>
    <w:rPr>
      <w:rFonts w:ascii="宋体" w:hAnsi="Calibri"/>
      <w:bCs/>
      <w:color w:val="000000"/>
      <w:kern w:val="0"/>
      <w:szCs w:val="21"/>
    </w:rPr>
  </w:style>
  <w:style w:type="paragraph" w:customStyle="1" w:styleId="47">
    <w:name w:val="标题 31"/>
    <w:basedOn w:val="1"/>
    <w:autoRedefine/>
    <w:qFormat/>
    <w:uiPriority w:val="1"/>
    <w:pPr>
      <w:ind w:left="100"/>
      <w:jc w:val="left"/>
      <w:outlineLvl w:val="3"/>
    </w:pPr>
    <w:rPr>
      <w:rFonts w:ascii="Microsoft JhengHei" w:hAnsi="Microsoft JhengHei" w:eastAsia="Microsoft JhengHei" w:cs="Times New Roman"/>
      <w:b/>
      <w:bCs/>
      <w:kern w:val="0"/>
      <w:sz w:val="32"/>
      <w:szCs w:val="32"/>
      <w:lang w:eastAsia="en-US"/>
    </w:rPr>
  </w:style>
  <w:style w:type="paragraph" w:customStyle="1" w:styleId="48">
    <w:name w:val="标题 41"/>
    <w:basedOn w:val="1"/>
    <w:autoRedefine/>
    <w:qFormat/>
    <w:uiPriority w:val="1"/>
    <w:pPr>
      <w:ind w:left="237"/>
      <w:jc w:val="left"/>
      <w:outlineLvl w:val="4"/>
    </w:pPr>
    <w:rPr>
      <w:rFonts w:ascii="宋体" w:hAnsi="宋体"/>
      <w:kern w:val="0"/>
      <w:sz w:val="28"/>
      <w:szCs w:val="28"/>
      <w:lang w:eastAsia="en-US"/>
    </w:rPr>
  </w:style>
  <w:style w:type="paragraph" w:customStyle="1" w:styleId="49">
    <w:name w:val="Table Text"/>
    <w:basedOn w:val="1"/>
    <w:autoRedefine/>
    <w:semiHidden/>
    <w:qFormat/>
    <w:uiPriority w:val="0"/>
    <w:rPr>
      <w:rFonts w:ascii="宋体" w:hAnsi="宋体" w:eastAsia="宋体" w:cs="宋体"/>
      <w:sz w:val="24"/>
      <w:lang w:eastAsia="en-US"/>
    </w:rPr>
  </w:style>
  <w:style w:type="paragraph" w:customStyle="1" w:styleId="50">
    <w:name w:val="样式14"/>
    <w:basedOn w:val="5"/>
    <w:autoRedefine/>
    <w:qFormat/>
    <w:uiPriority w:val="0"/>
    <w:pPr>
      <w:spacing w:before="0" w:after="0" w:line="360" w:lineRule="auto"/>
    </w:pPr>
    <w:rPr>
      <w:rFonts w:ascii="Arial" w:hAnsi="Arial" w:eastAsia="黑体"/>
      <w:kern w:val="28"/>
      <w:sz w:val="30"/>
    </w:rPr>
  </w:style>
  <w:style w:type="paragraph" w:customStyle="1" w:styleId="51">
    <w:name w:val="标题 #6 (2)"/>
    <w:basedOn w:val="1"/>
    <w:autoRedefine/>
    <w:qFormat/>
    <w:uiPriority w:val="0"/>
    <w:pPr>
      <w:shd w:val="clear" w:color="auto" w:fill="FFFFFF"/>
      <w:spacing w:line="0" w:lineRule="atLeast"/>
      <w:jc w:val="center"/>
      <w:outlineLvl w:val="5"/>
    </w:pPr>
    <w:rPr>
      <w:rFonts w:ascii="MingLiU" w:hAnsi="MingLiU" w:eastAsia="MingLiU" w:cs="MingLiU"/>
      <w:spacing w:val="20"/>
      <w:kern w:val="0"/>
      <w:sz w:val="32"/>
      <w:szCs w:val="32"/>
    </w:rPr>
  </w:style>
  <w:style w:type="paragraph" w:customStyle="1" w:styleId="52">
    <w:name w:val="正文文本 (2)"/>
    <w:basedOn w:val="1"/>
    <w:autoRedefine/>
    <w:qFormat/>
    <w:uiPriority w:val="0"/>
    <w:pPr>
      <w:shd w:val="clear" w:color="auto" w:fill="FFFFFF"/>
      <w:spacing w:before="300" w:line="439" w:lineRule="exact"/>
      <w:jc w:val="distribute"/>
    </w:pPr>
    <w:rPr>
      <w:rFonts w:ascii="宋体" w:hAnsi="宋体" w:cs="宋体"/>
      <w:kern w:val="0"/>
      <w:sz w:val="22"/>
    </w:rPr>
  </w:style>
  <w:style w:type="paragraph" w:customStyle="1" w:styleId="53">
    <w:name w:val="目录样式1"/>
    <w:basedOn w:val="1"/>
    <w:autoRedefine/>
    <w:qFormat/>
    <w:uiPriority w:val="0"/>
    <w:rPr>
      <w:rFonts w:ascii="黑体" w:hAnsi="宋体" w:eastAsia="黑体"/>
      <w:sz w:val="24"/>
      <w:szCs w:val="20"/>
    </w:rPr>
  </w:style>
  <w:style w:type="paragraph" w:customStyle="1" w:styleId="54">
    <w:name w:val="列出段落2"/>
    <w:basedOn w:val="1"/>
    <w:autoRedefine/>
    <w:qFormat/>
    <w:uiPriority w:val="34"/>
    <w:pPr>
      <w:ind w:firstLine="420" w:firstLineChars="200"/>
    </w:pPr>
    <w:rPr>
      <w:rFonts w:ascii="Times New Roman" w:hAnsi="Times New Roman"/>
    </w:rPr>
  </w:style>
  <w:style w:type="paragraph" w:customStyle="1" w:styleId="55">
    <w:name w:val="样式 样式 正文（首行缩进两字） + Arial Char Char Char Char Char Char Char Char..."/>
    <w:basedOn w:val="1"/>
    <w:autoRedefine/>
    <w:qFormat/>
    <w:uiPriority w:val="0"/>
    <w:pPr>
      <w:snapToGrid w:val="0"/>
      <w:spacing w:before="156" w:beforeLines="50" w:line="300" w:lineRule="auto"/>
      <w:ind w:firstLine="512" w:firstLineChars="200"/>
    </w:pPr>
    <w:rPr>
      <w:rFonts w:ascii="宋体" w:hAnsi="宋体"/>
      <w:color w:val="FF0000"/>
      <w:spacing w:val="16"/>
      <w:kern w:val="0"/>
      <w:sz w:val="24"/>
      <w:szCs w:val="20"/>
    </w:rPr>
  </w:style>
  <w:style w:type="table" w:customStyle="1" w:styleId="56">
    <w:name w:val="Table Normal"/>
    <w:autoRedefine/>
    <w:semiHidden/>
    <w:unhideWhenUsed/>
    <w:qFormat/>
    <w:uiPriority w:val="0"/>
    <w:tblPr>
      <w:tblCellMar>
        <w:top w:w="0" w:type="dxa"/>
        <w:left w:w="0" w:type="dxa"/>
        <w:bottom w:w="0" w:type="dxa"/>
        <w:right w:w="0" w:type="dxa"/>
      </w:tblCellMar>
    </w:tblPr>
  </w:style>
  <w:style w:type="paragraph" w:customStyle="1" w:styleId="57">
    <w:name w:val="样式53"/>
    <w:basedOn w:val="4"/>
    <w:autoRedefine/>
    <w:qFormat/>
    <w:uiPriority w:val="0"/>
    <w:rPr>
      <w:sz w:val="44"/>
    </w:rPr>
  </w:style>
  <w:style w:type="paragraph" w:customStyle="1" w:styleId="58">
    <w:name w:val="样式58"/>
    <w:basedOn w:val="6"/>
    <w:autoRedefine/>
    <w:qFormat/>
    <w:uiPriority w:val="0"/>
    <w:pPr>
      <w:topLinePunct w:val="0"/>
      <w:spacing w:before="0" w:after="0" w:line="360" w:lineRule="auto"/>
      <w:ind w:firstLine="200" w:firstLineChars="200"/>
    </w:pPr>
    <w:rPr>
      <w:kern w:val="28"/>
      <w:sz w:val="28"/>
      <w:szCs w:val="32"/>
    </w:rPr>
  </w:style>
  <w:style w:type="paragraph" w:styleId="59">
    <w:name w:val="No Spacing"/>
    <w:autoRedefine/>
    <w:qFormat/>
    <w:uiPriority w:val="0"/>
    <w:pPr>
      <w:widowControl w:val="0"/>
      <w:jc w:val="both"/>
    </w:pPr>
    <w:rPr>
      <w:rFonts w:ascii="宋体" w:hAnsi="宋体" w:eastAsia="宋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12307</Words>
  <Characters>13443</Characters>
  <Lines>0</Lines>
  <Paragraphs>0</Paragraphs>
  <TotalTime>4</TotalTime>
  <ScaleCrop>false</ScaleCrop>
  <LinksUpToDate>false</LinksUpToDate>
  <CharactersWithSpaces>13751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2025-01-23T13:27:00Z</dcterms:created>
  <dc:creator>宿子轩</dc:creator>
  <cp:lastModifiedBy>冯士峰</cp:lastModifiedBy>
  <cp:lastPrinted>2025-03-04T13:20:00Z</cp:lastPrinted>
  <dcterms:modified xsi:type="dcterms:W3CDTF">2025-09-28T06:40:07Z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DDB095B73ECB4E71A590113608D6BEBE_13</vt:lpwstr>
  </property>
  <property fmtid="{D5CDD505-2E9C-101B-9397-08002B2CF9AE}" pid="4" name="KSOTemplateDocerSaveRecord">
    <vt:lpwstr>eyJoZGlkIjoiMjNhMGNiNzBmYzRmYmU1YWU1ZDVjYzI3MTI0YTIzZjQiLCJ1c2VySWQiOiIxNjg3ODQzOTczIn0=</vt:lpwstr>
  </property>
</Properties>
</file>