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450B8">
      <w:pPr>
        <w:pStyle w:val="9"/>
        <w:adjustRightInd w:val="0"/>
        <w:snapToGrid w:val="0"/>
        <w:rPr>
          <w:rFonts w:hint="eastAsia" w:ascii="宋体" w:hAnsi="宋体" w:cs="宋体"/>
          <w:b w:val="0"/>
          <w:bCs w:val="0"/>
          <w:color w:val="auto"/>
          <w:kern w:val="0"/>
          <w:szCs w:val="21"/>
          <w:highlight w:val="none"/>
        </w:rPr>
      </w:pPr>
      <w:r>
        <w:rPr>
          <w:rFonts w:hint="eastAsia" w:ascii="宋体" w:hAnsi="宋体" w:cs="仿宋"/>
          <w:color w:val="auto"/>
          <w:highlight w:val="none"/>
        </w:rPr>
        <w:t>附件2：评标办法前附表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3"/>
        <w:gridCol w:w="1470"/>
        <w:gridCol w:w="6579"/>
      </w:tblGrid>
      <w:tr w14:paraId="26AEE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exact"/>
          <w:tblHeader/>
          <w:jc w:val="center"/>
        </w:trPr>
        <w:tc>
          <w:tcPr>
            <w:tcW w:w="2493" w:type="dxa"/>
            <w:gridSpan w:val="2"/>
            <w:noWrap w:val="0"/>
            <w:vAlign w:val="center"/>
          </w:tcPr>
          <w:p w14:paraId="0924492A">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6579" w:type="dxa"/>
            <w:noWrap w:val="0"/>
            <w:vAlign w:val="center"/>
          </w:tcPr>
          <w:p w14:paraId="4ED220C4">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评审因素与评审标准</w:t>
            </w:r>
          </w:p>
        </w:tc>
      </w:tr>
      <w:tr w14:paraId="08A85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23" w:type="dxa"/>
            <w:noWrap w:val="0"/>
            <w:vAlign w:val="center"/>
          </w:tcPr>
          <w:p w14:paraId="63C0647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0" w:type="dxa"/>
            <w:noWrap w:val="0"/>
            <w:vAlign w:val="center"/>
          </w:tcPr>
          <w:p w14:paraId="523818B0">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6579" w:type="dxa"/>
            <w:noWrap w:val="0"/>
            <w:vAlign w:val="center"/>
          </w:tcPr>
          <w:p w14:paraId="0E06DAF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3717F8D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0CC7845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1FBBB027">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（3）投标人满足资格审查条件(业绩最低要求)的业绩累计金额高的优先。</w:t>
            </w:r>
          </w:p>
          <w:p w14:paraId="2171D8C9">
            <w:pPr>
              <w:spacing w:line="38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通过（商务及技术文件）评审的投标人少于3个的，评标委员会可以否决全部投标；未否决全部投标的，评标委员会应当在评标报告中阐明理由并推荐中标候选人。</w:t>
            </w:r>
          </w:p>
        </w:tc>
      </w:tr>
      <w:tr w14:paraId="467DE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2" w:hRule="atLeast"/>
          <w:jc w:val="center"/>
        </w:trPr>
        <w:tc>
          <w:tcPr>
            <w:tcW w:w="1023" w:type="dxa"/>
            <w:noWrap w:val="0"/>
            <w:vAlign w:val="center"/>
          </w:tcPr>
          <w:p w14:paraId="63BE966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p w14:paraId="3A6CC6AB">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1470" w:type="dxa"/>
            <w:noWrap w:val="0"/>
            <w:vAlign w:val="center"/>
          </w:tcPr>
          <w:p w14:paraId="2B283A20">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6579" w:type="dxa"/>
            <w:noWrap w:val="0"/>
            <w:vAlign w:val="center"/>
          </w:tcPr>
          <w:p w14:paraId="25ADF0F1">
            <w:pPr>
              <w:spacing w:line="380" w:lineRule="exact"/>
              <w:jc w:val="left"/>
              <w:rPr>
                <w:rFonts w:hint="eastAsia" w:ascii="宋体" w:hAnsi="宋体" w:cs="宋体"/>
                <w:b/>
                <w:bCs/>
                <w:color w:val="auto"/>
                <w:spacing w:val="-4"/>
                <w:szCs w:val="21"/>
                <w:highlight w:val="none"/>
              </w:rPr>
            </w:pPr>
            <w:r>
              <w:rPr>
                <w:rFonts w:hint="eastAsia" w:ascii="宋体" w:hAnsi="宋体" w:cs="宋体"/>
                <w:b/>
                <w:bCs/>
                <w:color w:val="auto"/>
                <w:spacing w:val="-4"/>
                <w:szCs w:val="21"/>
                <w:highlight w:val="none"/>
                <w:lang w:val="en-US" w:eastAsia="zh-CN"/>
              </w:rPr>
              <w:t>明标部分</w:t>
            </w:r>
            <w:r>
              <w:rPr>
                <w:rFonts w:hint="eastAsia" w:ascii="宋体" w:hAnsi="宋体" w:cs="宋体"/>
                <w:b/>
                <w:bCs/>
                <w:color w:val="auto"/>
                <w:spacing w:val="-4"/>
                <w:szCs w:val="21"/>
                <w:highlight w:val="none"/>
              </w:rPr>
              <w:t xml:space="preserve">评审标准： </w:t>
            </w:r>
          </w:p>
          <w:p w14:paraId="0BDF0920">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（1）投标文件按照招标文件规定的格式、内容填写，字迹清晰可辨：</w:t>
            </w:r>
          </w:p>
          <w:p w14:paraId="176105C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a．投标函按招标文件规定填报了项目名称、补遗书编号（如有）、投标总报价（包括大写金额和小写金额）</w:t>
            </w:r>
            <w:r>
              <w:rPr>
                <w:rFonts w:hint="eastAsia" w:ascii="宋体" w:hAnsi="宋体" w:cs="宋体"/>
                <w:color w:val="auto"/>
                <w:spacing w:val="-4"/>
                <w:szCs w:val="21"/>
                <w:highlight w:val="none"/>
                <w:lang w:eastAsia="zh-CN"/>
              </w:rPr>
              <w:t>、</w:t>
            </w:r>
            <w:r>
              <w:rPr>
                <w:rFonts w:hint="eastAsia" w:ascii="宋体" w:hAnsi="宋体" w:cs="宋体"/>
                <w:color w:val="auto"/>
                <w:spacing w:val="-4"/>
                <w:szCs w:val="21"/>
                <w:highlight w:val="none"/>
              </w:rPr>
              <w:t>项目负责人、质量要求、安全目标、服务期限等信息；</w:t>
            </w:r>
          </w:p>
          <w:p w14:paraId="2FEDA436">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b．投标文件组成齐全完整，内容均按规定填写。</w:t>
            </w:r>
          </w:p>
          <w:p w14:paraId="439A1C5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（2）投标文件上法定代表人或其委托代理人的签字、投标人的单位盖章齐全，符合招标文件规定。 </w:t>
            </w:r>
          </w:p>
          <w:p w14:paraId="648B9E97">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（3）投标人按照招标文件投标人须知前附表3.4.1的规定提供了投标保证金。</w:t>
            </w:r>
          </w:p>
          <w:p w14:paraId="3685676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（4）若投标人法定代表人授权委托代理人签署投标文件的，须提交授权委托书；符合招标文件规定。</w:t>
            </w:r>
          </w:p>
          <w:p w14:paraId="52C069C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（5）若投标人法定代表人若亲自签署投标文件的，提供了法定代表人身份证明；符合招标文件规定。</w:t>
            </w:r>
          </w:p>
          <w:p w14:paraId="03F5100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（6）投标人未以联合体形式投标。 </w:t>
            </w:r>
          </w:p>
          <w:p w14:paraId="1CDC6FE6">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（7）投标人未对本项目提出分包计划。</w:t>
            </w:r>
          </w:p>
          <w:p w14:paraId="408D2FE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（8）同一投标人未提交两个以上不同的投标文件。</w:t>
            </w:r>
          </w:p>
          <w:p w14:paraId="0DDE3CDA">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9</w:t>
            </w:r>
            <w:r>
              <w:rPr>
                <w:rFonts w:hint="eastAsia" w:ascii="宋体" w:hAnsi="宋体" w:cs="宋体"/>
                <w:color w:val="auto"/>
                <w:spacing w:val="-4"/>
                <w:szCs w:val="21"/>
                <w:highlight w:val="none"/>
              </w:rPr>
              <w:t xml:space="preserve">）投标文件载明的招标项目完成期限满足招标文件规定的时限。 </w:t>
            </w:r>
          </w:p>
          <w:p w14:paraId="7034AF0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0</w:t>
            </w:r>
            <w:r>
              <w:rPr>
                <w:rFonts w:hint="eastAsia" w:ascii="宋体" w:hAnsi="宋体" w:cs="宋体"/>
                <w:color w:val="auto"/>
                <w:spacing w:val="-4"/>
                <w:szCs w:val="21"/>
                <w:highlight w:val="none"/>
              </w:rPr>
              <w:t xml:space="preserve">）投标文件对招标文件的实质性要求和条件作出响应。 </w:t>
            </w:r>
          </w:p>
          <w:p w14:paraId="5C95ED1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1</w:t>
            </w:r>
            <w:r>
              <w:rPr>
                <w:rFonts w:hint="eastAsia" w:ascii="宋体" w:hAnsi="宋体" w:cs="宋体"/>
                <w:color w:val="auto"/>
                <w:spacing w:val="-4"/>
                <w:szCs w:val="21"/>
                <w:highlight w:val="none"/>
              </w:rPr>
              <w:t xml:space="preserve">）权利义务符合招标文件规定： </w:t>
            </w:r>
          </w:p>
          <w:p w14:paraId="75149BE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a.投标人应接受招标文件规定的风险划分原则，未提出新的风险划分办法； </w:t>
            </w:r>
          </w:p>
          <w:p w14:paraId="132CBBEE">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b.投标人未增加委托人的责任范围，或减少投标人义务； </w:t>
            </w:r>
          </w:p>
          <w:p w14:paraId="4F33891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c.投标人未提出不同的支付办法； </w:t>
            </w:r>
          </w:p>
          <w:p w14:paraId="3858C5D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d.投标人对合同纠纷、事故处理办法未提出异议； </w:t>
            </w:r>
          </w:p>
          <w:p w14:paraId="7F9AC6D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e.投标人在投标活动中无欺诈行为； </w:t>
            </w:r>
          </w:p>
          <w:p w14:paraId="7F4D444E">
            <w:pPr>
              <w:spacing w:line="276" w:lineRule="auto"/>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f.投标人未对合同条款有重要保留。</w:t>
            </w:r>
          </w:p>
          <w:p w14:paraId="48F89AC4">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12</w:t>
            </w:r>
            <w:r>
              <w:rPr>
                <w:rFonts w:hint="eastAsia" w:ascii="宋体" w:hAnsi="宋体" w:cs="宋体"/>
                <w:color w:val="auto"/>
                <w:spacing w:val="-4"/>
                <w:szCs w:val="21"/>
                <w:highlight w:val="none"/>
              </w:rPr>
              <w:t xml:space="preserve">）投标报价未超过招标文件设定的最高投标限价。 </w:t>
            </w:r>
          </w:p>
          <w:p w14:paraId="7839778D">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13</w:t>
            </w:r>
            <w:r>
              <w:rPr>
                <w:rFonts w:hint="eastAsia" w:ascii="宋体" w:hAnsi="宋体" w:cs="宋体"/>
                <w:color w:val="auto"/>
                <w:spacing w:val="-4"/>
                <w:szCs w:val="21"/>
                <w:highlight w:val="none"/>
              </w:rPr>
              <w:t xml:space="preserve">）投标报价的大写金额能够确定具体数值。 </w:t>
            </w:r>
          </w:p>
          <w:p w14:paraId="449167D6">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14</w:t>
            </w:r>
            <w:r>
              <w:rPr>
                <w:rFonts w:hint="eastAsia" w:ascii="宋体" w:hAnsi="宋体" w:cs="宋体"/>
                <w:color w:val="auto"/>
                <w:spacing w:val="-4"/>
                <w:szCs w:val="21"/>
                <w:highlight w:val="none"/>
              </w:rPr>
              <w:t xml:space="preserve">）同一投标人未提交两个以上不同的投标报价。 </w:t>
            </w:r>
          </w:p>
          <w:p w14:paraId="6CEB6A83">
            <w:pPr>
              <w:pStyle w:val="2"/>
              <w:ind w:left="0" w:leftChars="0" w:firstLine="0" w:firstLineChars="0"/>
              <w:rPr>
                <w:rFonts w:hint="eastAsia"/>
                <w:color w:val="auto"/>
                <w:highlight w:val="none"/>
              </w:rPr>
            </w:pPr>
            <w:r>
              <w:rPr>
                <w:rFonts w:hint="eastAsia" w:eastAsia="宋体"/>
                <w:color w:val="auto"/>
                <w:highlight w:val="none"/>
                <w:lang w:val="en-US" w:eastAsia="zh-CN"/>
              </w:rPr>
              <w:t>（</w:t>
            </w:r>
            <w:r>
              <w:rPr>
                <w:rFonts w:hint="eastAsia" w:ascii="宋体" w:hAnsi="宋体" w:eastAsia="宋体" w:cs="宋体"/>
                <w:color w:val="auto"/>
                <w:spacing w:val="-4"/>
                <w:kern w:val="2"/>
                <w:sz w:val="21"/>
                <w:szCs w:val="21"/>
                <w:highlight w:val="none"/>
                <w:lang w:val="en-US" w:eastAsia="zh-CN" w:bidi="ar-SA"/>
              </w:rPr>
              <w:t>15）投</w:t>
            </w:r>
            <w:r>
              <w:rPr>
                <w:rFonts w:hint="eastAsia" w:eastAsia="宋体"/>
                <w:color w:val="auto"/>
                <w:highlight w:val="none"/>
                <w:lang w:val="en-US" w:eastAsia="zh-CN"/>
              </w:rPr>
              <w:t>标人未提交调价函。</w:t>
            </w:r>
          </w:p>
          <w:p w14:paraId="461FA001">
            <w:pPr>
              <w:spacing w:line="276" w:lineRule="auto"/>
              <w:jc w:val="left"/>
              <w:rPr>
                <w:rFonts w:ascii="宋体" w:hAnsi="宋体"/>
                <w:b/>
                <w:bCs/>
                <w:color w:val="auto"/>
                <w:spacing w:val="-4"/>
                <w:szCs w:val="21"/>
                <w:highlight w:val="none"/>
              </w:rPr>
            </w:pPr>
            <w:r>
              <w:rPr>
                <w:rFonts w:hint="eastAsia" w:ascii="宋体" w:hAnsi="宋体"/>
                <w:b/>
                <w:bCs/>
                <w:color w:val="auto"/>
                <w:spacing w:val="-4"/>
                <w:szCs w:val="21"/>
                <w:highlight w:val="none"/>
                <w:lang w:val="en-US" w:eastAsia="zh-CN"/>
              </w:rPr>
              <w:t>暗标部分</w:t>
            </w:r>
            <w:r>
              <w:rPr>
                <w:rFonts w:hint="eastAsia" w:ascii="宋体" w:hAnsi="宋体"/>
                <w:b/>
                <w:bCs/>
                <w:color w:val="auto"/>
                <w:spacing w:val="-4"/>
                <w:szCs w:val="21"/>
                <w:highlight w:val="none"/>
              </w:rPr>
              <w:t>评审标准:</w:t>
            </w:r>
          </w:p>
          <w:p w14:paraId="4CB3043D">
            <w:pPr>
              <w:spacing w:line="380" w:lineRule="exact"/>
              <w:jc w:val="left"/>
              <w:rPr>
                <w:color w:val="auto"/>
                <w:highlight w:val="none"/>
                <w:lang w:val="en-US" w:eastAsia="zh-CN"/>
              </w:rPr>
            </w:pPr>
            <w:r>
              <w:rPr>
                <w:rFonts w:hint="eastAsia" w:ascii="宋体" w:hAnsi="宋体" w:eastAsia="宋体" w:cs="宋体"/>
                <w:color w:val="auto"/>
                <w:spacing w:val="-4"/>
                <w:szCs w:val="21"/>
                <w:highlight w:val="none"/>
              </w:rPr>
              <w:t>（1）</w:t>
            </w:r>
            <w:r>
              <w:rPr>
                <w:rFonts w:hint="eastAsia" w:ascii="宋体" w:hAnsi="宋体" w:eastAsia="宋体" w:cs="宋体"/>
                <w:color w:val="auto"/>
                <w:spacing w:val="-4"/>
                <w:szCs w:val="21"/>
                <w:highlight w:val="none"/>
                <w:lang w:eastAsia="zh-CN"/>
              </w:rPr>
              <w:t>技术</w:t>
            </w:r>
            <w:r>
              <w:rPr>
                <w:rFonts w:hint="eastAsia" w:ascii="宋体" w:hAnsi="宋体" w:eastAsia="宋体" w:cs="宋体"/>
                <w:color w:val="auto"/>
                <w:spacing w:val="-4"/>
                <w:szCs w:val="21"/>
                <w:highlight w:val="none"/>
              </w:rPr>
              <w:t>建议书（暗标）符合招标文件第二章“投标人须知”第3.7.3款的投标文件技术部分暗标编制要求。</w:t>
            </w:r>
          </w:p>
        </w:tc>
      </w:tr>
      <w:tr w14:paraId="0950F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jc w:val="center"/>
        </w:trPr>
        <w:tc>
          <w:tcPr>
            <w:tcW w:w="1023" w:type="dxa"/>
            <w:noWrap w:val="0"/>
            <w:vAlign w:val="center"/>
          </w:tcPr>
          <w:p w14:paraId="69010C6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1470" w:type="dxa"/>
            <w:noWrap w:val="0"/>
            <w:vAlign w:val="center"/>
          </w:tcPr>
          <w:p w14:paraId="04FFE488">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6579" w:type="dxa"/>
            <w:noWrap w:val="0"/>
            <w:vAlign w:val="center"/>
          </w:tcPr>
          <w:p w14:paraId="24A9CDCB">
            <w:pPr>
              <w:spacing w:line="380" w:lineRule="exact"/>
              <w:jc w:val="left"/>
              <w:rPr>
                <w:rFonts w:hint="eastAsia"/>
                <w:color w:val="auto"/>
                <w:highlight w:val="none"/>
              </w:rPr>
            </w:pPr>
            <w:r>
              <w:rPr>
                <w:rFonts w:hint="eastAsia"/>
                <w:color w:val="auto"/>
                <w:highlight w:val="none"/>
              </w:rPr>
              <w:t>（1）投标人具备有效的营业执照、基本账户开户许可证(或基本存款账户信息)。</w:t>
            </w:r>
          </w:p>
          <w:p w14:paraId="6DB78C2A">
            <w:pPr>
              <w:spacing w:line="380" w:lineRule="exact"/>
              <w:jc w:val="left"/>
              <w:rPr>
                <w:rFonts w:hint="eastAsia"/>
                <w:color w:val="auto"/>
                <w:highlight w:val="none"/>
              </w:rPr>
            </w:pPr>
            <w:r>
              <w:rPr>
                <w:rFonts w:hint="eastAsia"/>
                <w:color w:val="auto"/>
                <w:highlight w:val="none"/>
              </w:rPr>
              <w:t>（2）投标人的类似项目业绩符合招标文件的规定。</w:t>
            </w:r>
          </w:p>
          <w:p w14:paraId="32D8E88F">
            <w:pPr>
              <w:spacing w:line="380" w:lineRule="exact"/>
              <w:jc w:val="left"/>
              <w:rPr>
                <w:rFonts w:hint="eastAsia"/>
                <w:color w:val="auto"/>
                <w:highlight w:val="none"/>
              </w:rPr>
            </w:pPr>
            <w:r>
              <w:rPr>
                <w:rFonts w:hint="eastAsia"/>
                <w:color w:val="auto"/>
                <w:highlight w:val="none"/>
              </w:rPr>
              <w:t>（3）投标人的信誉符合招标文件规定。</w:t>
            </w:r>
          </w:p>
          <w:p w14:paraId="5712F6A7">
            <w:pPr>
              <w:spacing w:line="380" w:lineRule="exact"/>
              <w:jc w:val="left"/>
              <w:rPr>
                <w:rFonts w:hint="eastAsia"/>
                <w:color w:val="auto"/>
                <w:highlight w:val="none"/>
              </w:rPr>
            </w:pPr>
            <w:r>
              <w:rPr>
                <w:rFonts w:hint="eastAsia"/>
                <w:color w:val="auto"/>
                <w:highlight w:val="none"/>
              </w:rPr>
              <w:t>（4）投标人的项目负责人资格符合招标文件规定。</w:t>
            </w:r>
          </w:p>
          <w:p w14:paraId="39D29808">
            <w:pPr>
              <w:spacing w:line="380" w:lineRule="exact"/>
              <w:jc w:val="left"/>
              <w:rPr>
                <w:rFonts w:hint="eastAsia"/>
                <w:color w:val="auto"/>
                <w:highlight w:val="none"/>
              </w:rPr>
            </w:pPr>
            <w:r>
              <w:rPr>
                <w:rFonts w:hint="eastAsia"/>
                <w:color w:val="auto"/>
                <w:highlight w:val="none"/>
              </w:rPr>
              <w:t>（5）投标人不存在第二章“投标人须知”第1.4.3项或1.4.4项规定的任何一种情形。</w:t>
            </w:r>
          </w:p>
        </w:tc>
      </w:tr>
      <w:tr w14:paraId="22D72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1" w:hRule="atLeast"/>
          <w:jc w:val="center"/>
        </w:trPr>
        <w:tc>
          <w:tcPr>
            <w:tcW w:w="1023" w:type="dxa"/>
            <w:noWrap w:val="0"/>
            <w:vAlign w:val="center"/>
          </w:tcPr>
          <w:p w14:paraId="24EC6E0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2.2.1</w:t>
            </w:r>
          </w:p>
        </w:tc>
        <w:tc>
          <w:tcPr>
            <w:tcW w:w="1470" w:type="dxa"/>
            <w:noWrap w:val="0"/>
            <w:vAlign w:val="center"/>
          </w:tcPr>
          <w:p w14:paraId="5994087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分值构成</w:t>
            </w:r>
          </w:p>
          <w:p w14:paraId="66EF37C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（总分100分）</w:t>
            </w:r>
          </w:p>
        </w:tc>
        <w:tc>
          <w:tcPr>
            <w:tcW w:w="6579" w:type="dxa"/>
            <w:noWrap w:val="0"/>
            <w:vAlign w:val="center"/>
          </w:tcPr>
          <w:p w14:paraId="21E88FEE">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技术建议书：35分（暗标部分）</w:t>
            </w:r>
          </w:p>
          <w:p w14:paraId="66642928">
            <w:pPr>
              <w:spacing w:line="400" w:lineRule="exact"/>
              <w:jc w:val="left"/>
              <w:rPr>
                <w:rFonts w:hint="eastAsia" w:ascii="宋体" w:hAnsi="宋体" w:cs="仿宋"/>
                <w:color w:val="auto"/>
                <w:szCs w:val="21"/>
                <w:highlight w:val="none"/>
              </w:rPr>
            </w:pPr>
            <w:r>
              <w:rPr>
                <w:rFonts w:hint="eastAsia" w:ascii="宋体" w:hAnsi="宋体" w:cs="仿宋"/>
                <w:color w:val="auto"/>
                <w:kern w:val="0"/>
                <w:szCs w:val="21"/>
                <w:highlight w:val="none"/>
              </w:rPr>
              <w:t>主要人员：</w:t>
            </w: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分（明标部分）</w:t>
            </w:r>
          </w:p>
          <w:p w14:paraId="13F2BF7B">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szCs w:val="21"/>
                <w:highlight w:val="none"/>
              </w:rPr>
              <w:t>：</w:t>
            </w: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分（明标部分）</w:t>
            </w:r>
          </w:p>
          <w:p w14:paraId="7FCD2BF0">
            <w:pPr>
              <w:spacing w:line="400" w:lineRule="exact"/>
              <w:jc w:val="left"/>
              <w:rPr>
                <w:rFonts w:hint="eastAsia" w:ascii="宋体" w:hAnsi="宋体" w:cs="宋体"/>
                <w:color w:val="auto"/>
                <w:szCs w:val="21"/>
                <w:highlight w:val="none"/>
              </w:rPr>
            </w:pPr>
            <w:r>
              <w:rPr>
                <w:rFonts w:hint="eastAsia" w:ascii="宋体" w:hAnsi="宋体" w:cs="仿宋"/>
                <w:color w:val="auto"/>
                <w:szCs w:val="21"/>
                <w:highlight w:val="none"/>
              </w:rPr>
              <w:t>评标价：30分（明标部分）</w:t>
            </w:r>
          </w:p>
        </w:tc>
      </w:tr>
      <w:tr w14:paraId="7DFD8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jc w:val="center"/>
        </w:trPr>
        <w:tc>
          <w:tcPr>
            <w:tcW w:w="1023" w:type="dxa"/>
            <w:noWrap w:val="0"/>
            <w:vAlign w:val="center"/>
          </w:tcPr>
          <w:p w14:paraId="78CA01A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470" w:type="dxa"/>
            <w:noWrap w:val="0"/>
            <w:vAlign w:val="center"/>
          </w:tcPr>
          <w:p w14:paraId="62299FB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6579" w:type="dxa"/>
            <w:noWrap w:val="0"/>
            <w:vAlign w:val="center"/>
          </w:tcPr>
          <w:p w14:paraId="7E7E7E3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评标基准价的计算： </w:t>
            </w:r>
          </w:p>
          <w:p w14:paraId="11878DF5">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在开标现场，招标人将当场计算并宣布评标基准价。</w:t>
            </w:r>
          </w:p>
          <w:p w14:paraId="31D51FC5">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(1)评标价的确定：</w:t>
            </w:r>
          </w:p>
          <w:p w14:paraId="66F91C4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评标价=投标函文字报价</w:t>
            </w:r>
          </w:p>
          <w:p w14:paraId="6EDAFEDF">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(2)评标价平均值的计算：</w:t>
            </w:r>
          </w:p>
          <w:p w14:paraId="4A8B8A5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除按第二章“投标人须知”第5.2.4项规定开标现场被宣布为不进入评标基准价计算的投标报价之外，所有投标人评标价的算术平均值即为评标价平均值。 </w:t>
            </w:r>
          </w:p>
          <w:p w14:paraId="1B7FB5D1">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(3)评标基准价的确定：</w:t>
            </w:r>
          </w:p>
          <w:p w14:paraId="0CCDAEB5">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将评标价平均值直接作为评标基准价。 </w:t>
            </w:r>
          </w:p>
          <w:p w14:paraId="6714EC2D">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8C99528">
            <w:pPr>
              <w:spacing w:line="380" w:lineRule="exact"/>
              <w:ind w:firstLine="210" w:firstLineChars="100"/>
              <w:rPr>
                <w:rFonts w:hint="eastAsia" w:ascii="宋体" w:hAnsi="宋体" w:cs="宋体"/>
                <w:color w:val="auto"/>
                <w:szCs w:val="21"/>
                <w:highlight w:val="none"/>
              </w:rPr>
            </w:pPr>
            <w:r>
              <w:rPr>
                <w:rFonts w:hint="eastAsia" w:ascii="宋体" w:hAnsi="宋体" w:cs="仿宋"/>
                <w:color w:val="auto"/>
                <w:szCs w:val="21"/>
                <w:highlight w:val="none"/>
              </w:rPr>
              <w:t>注：评标基准价保留小数点后两位，小数点后第三位四舍五入。</w:t>
            </w:r>
          </w:p>
        </w:tc>
      </w:tr>
      <w:tr w14:paraId="2C4B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jc w:val="center"/>
        </w:trPr>
        <w:tc>
          <w:tcPr>
            <w:tcW w:w="1023" w:type="dxa"/>
            <w:noWrap w:val="0"/>
            <w:vAlign w:val="center"/>
          </w:tcPr>
          <w:p w14:paraId="7151CC3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1470" w:type="dxa"/>
            <w:noWrap w:val="0"/>
            <w:vAlign w:val="center"/>
          </w:tcPr>
          <w:p w14:paraId="75471A1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6579" w:type="dxa"/>
            <w:noWrap w:val="0"/>
            <w:vAlign w:val="center"/>
          </w:tcPr>
          <w:p w14:paraId="205AE38C">
            <w:pPr>
              <w:spacing w:line="38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1811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jc w:val="center"/>
        </w:trPr>
        <w:tc>
          <w:tcPr>
            <w:tcW w:w="1023" w:type="dxa"/>
            <w:noWrap w:val="0"/>
            <w:vAlign w:val="center"/>
          </w:tcPr>
          <w:p w14:paraId="285DC8C2">
            <w:pPr>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.1</w:t>
            </w:r>
          </w:p>
        </w:tc>
        <w:tc>
          <w:tcPr>
            <w:tcW w:w="1470" w:type="dxa"/>
            <w:noWrap w:val="0"/>
            <w:vAlign w:val="center"/>
          </w:tcPr>
          <w:p w14:paraId="1D3E2A8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6579" w:type="dxa"/>
            <w:noWrap w:val="0"/>
            <w:vAlign w:val="center"/>
          </w:tcPr>
          <w:p w14:paraId="58CAAD24">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本款修改为：</w:t>
            </w:r>
          </w:p>
          <w:p w14:paraId="41A5F514">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在评标过程中，评标委员会应对以下信息进行查询：</w:t>
            </w:r>
          </w:p>
          <w:p w14:paraId="66EABDA4">
            <w:pPr>
              <w:spacing w:line="400" w:lineRule="exact"/>
              <w:jc w:val="left"/>
              <w:rPr>
                <w:rFonts w:hint="eastAsia" w:ascii="宋体" w:hAnsi="宋体" w:eastAsia="宋体" w:cs="仿宋"/>
                <w:color w:val="auto"/>
                <w:szCs w:val="21"/>
                <w:highlight w:val="none"/>
              </w:rPr>
            </w:pPr>
            <w:r>
              <w:rPr>
                <w:rFonts w:hint="eastAsia" w:ascii="宋体" w:hAnsi="宋体" w:cs="仿宋"/>
                <w:color w:val="auto"/>
                <w:szCs w:val="21"/>
                <w:highlight w:val="none"/>
              </w:rPr>
              <w:t>（1）在评标过程中，评标委员会应在“公路工程造价人员管理系统（公共查询）”</w:t>
            </w:r>
            <w:r>
              <w:rPr>
                <w:rFonts w:hint="eastAsia" w:ascii="宋体" w:hAnsi="宋体" w:cs="仿宋"/>
                <w:color w:val="auto"/>
                <w:szCs w:val="21"/>
                <w:highlight w:val="none"/>
                <w:lang w:val="en-US" w:eastAsia="zh-CN"/>
              </w:rPr>
              <w:t>网站上查询项目负责人注册造价工程师证书</w:t>
            </w:r>
            <w:r>
              <w:rPr>
                <w:rFonts w:hint="eastAsia"/>
                <w:color w:val="auto"/>
                <w:highlight w:val="none"/>
                <w:lang w:eastAsia="zh-CN"/>
              </w:rPr>
              <w:t>（</w:t>
            </w:r>
            <w:r>
              <w:rPr>
                <w:rFonts w:hint="eastAsia"/>
                <w:color w:val="auto"/>
                <w:highlight w:val="none"/>
                <w:lang w:val="en-US" w:eastAsia="zh-CN"/>
              </w:rPr>
              <w:t>或交通运输部公路工程甲级造价证书</w:t>
            </w:r>
            <w:r>
              <w:rPr>
                <w:rFonts w:hint="eastAsia"/>
                <w:color w:val="auto"/>
                <w:highlight w:val="none"/>
                <w:lang w:eastAsia="zh-CN"/>
              </w:rPr>
              <w:t>）</w:t>
            </w:r>
            <w:r>
              <w:rPr>
                <w:rFonts w:hint="eastAsia" w:ascii="宋体" w:hAnsi="宋体" w:cs="仿宋"/>
                <w:color w:val="auto"/>
                <w:szCs w:val="21"/>
                <w:highlight w:val="none"/>
                <w:lang w:val="en-US" w:eastAsia="zh-CN"/>
              </w:rPr>
              <w:t>信息</w:t>
            </w:r>
            <w:r>
              <w:rPr>
                <w:rFonts w:hint="eastAsia" w:ascii="宋体" w:hAnsi="宋体" w:cs="仿宋"/>
                <w:color w:val="auto"/>
                <w:szCs w:val="21"/>
                <w:highlight w:val="none"/>
              </w:rPr>
              <w:t>；在“国家企业信用信息公示系统（</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://www.gsxt.gov.cn/)”对投标人的信用情况进行查询，若投标人存在被列入“严重违法失信企业名单”情形的（不含分公司），评标委员会应否决其投标。在“信用中国网站（</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creditchina.gov.cn/)”对投标人的信用情况进行查询，若投标人存在被列入经营(活动)异常名录信息查询、重大税收违法失信主体、政府采购严重违法失信行为记录名单、安全生产严重失信主体名单情形的（均不含分公司），评标委员会应否决</w:t>
            </w:r>
            <w:r>
              <w:rPr>
                <w:rFonts w:hint="eastAsia" w:ascii="宋体" w:hAnsi="宋体" w:eastAsia="宋体" w:cs="仿宋"/>
                <w:color w:val="auto"/>
                <w:szCs w:val="21"/>
                <w:highlight w:val="none"/>
              </w:rPr>
              <w:t>其投标。</w:t>
            </w:r>
            <w:r>
              <w:rPr>
                <w:rFonts w:hint="eastAsia" w:ascii="宋体" w:hAnsi="宋体" w:eastAsia="宋体" w:cs="仿宋"/>
                <w:color w:val="auto"/>
                <w:szCs w:val="21"/>
                <w:highlight w:val="none"/>
                <w:lang w:val="en-US" w:eastAsia="zh-CN"/>
              </w:rPr>
              <w:t>在</w:t>
            </w:r>
            <w:r>
              <w:rPr>
                <w:rFonts w:hint="eastAsia" w:ascii="宋体" w:hAnsi="宋体" w:eastAsia="宋体" w:cs="仿宋"/>
                <w:color w:val="auto"/>
                <w:szCs w:val="21"/>
                <w:highlight w:val="none"/>
              </w:rPr>
              <w:t>中国执行信息公开网（https://zxgk.court.gov.cn/）</w:t>
            </w:r>
            <w:r>
              <w:rPr>
                <w:rFonts w:hint="eastAsia" w:ascii="宋体" w:hAnsi="宋体" w:cs="仿宋"/>
                <w:color w:val="auto"/>
                <w:szCs w:val="21"/>
                <w:highlight w:val="none"/>
              </w:rPr>
              <w:t>对投标人的信用情况进行查询，若投标人存在被列入</w:t>
            </w:r>
            <w:r>
              <w:rPr>
                <w:rFonts w:hint="eastAsia" w:ascii="宋体" w:hAnsi="宋体" w:eastAsia="宋体" w:cs="仿宋"/>
                <w:color w:val="auto"/>
                <w:szCs w:val="21"/>
                <w:highlight w:val="none"/>
                <w:lang w:val="en-US" w:eastAsia="zh-CN"/>
              </w:rPr>
              <w:t>失信被执行人</w:t>
            </w:r>
            <w:r>
              <w:rPr>
                <w:rFonts w:hint="eastAsia" w:ascii="宋体" w:hAnsi="宋体" w:cs="仿宋"/>
                <w:color w:val="auto"/>
                <w:szCs w:val="21"/>
                <w:highlight w:val="none"/>
              </w:rPr>
              <w:t>情形的（不含分公司），评标委员会应否决其投标。</w:t>
            </w:r>
          </w:p>
          <w:p w14:paraId="3846EF25">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如投标人未提供相关网页截图或所附截图与复核结果不一致导致不能满足资格评审要求的，评标委员会应否决其投标。</w:t>
            </w:r>
          </w:p>
          <w:p w14:paraId="70150B6D">
            <w:pPr>
              <w:pStyle w:val="4"/>
              <w:rPr>
                <w:rFonts w:hint="eastAsia"/>
                <w:color w:val="auto"/>
                <w:highlight w:val="none"/>
              </w:rPr>
            </w:pPr>
          </w:p>
          <w:p w14:paraId="685F5974">
            <w:pPr>
              <w:spacing w:line="380" w:lineRule="exact"/>
              <w:rPr>
                <w:rFonts w:hint="eastAsia"/>
                <w:color w:val="auto"/>
                <w:highlight w:val="none"/>
              </w:rPr>
            </w:pPr>
            <w:r>
              <w:rPr>
                <w:rFonts w:hint="eastAsia" w:ascii="宋体" w:hAnsi="宋体" w:cs="仿宋"/>
                <w:color w:val="auto"/>
                <w:szCs w:val="21"/>
                <w:highlight w:val="none"/>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2D30D6EA">
      <w:pPr>
        <w:pStyle w:val="5"/>
        <w:rPr>
          <w:rFonts w:hint="eastAsia" w:cs="仿宋"/>
          <w:color w:val="auto"/>
          <w:highlight w:val="none"/>
        </w:rPr>
      </w:pPr>
      <w:r>
        <w:rPr>
          <w:b/>
          <w:bCs/>
          <w:color w:val="auto"/>
          <w:kern w:val="0"/>
          <w:szCs w:val="21"/>
          <w:highlight w:val="none"/>
        </w:rPr>
        <w:br w:type="page"/>
      </w:r>
    </w:p>
    <w:p w14:paraId="1EEE6067">
      <w:pPr>
        <w:jc w:val="right"/>
        <w:rPr>
          <w:rFonts w:hint="eastAsia" w:ascii="宋体" w:hAnsi="宋体" w:cs="仿宋"/>
          <w:color w:val="auto"/>
          <w:highlight w:val="none"/>
        </w:rPr>
      </w:pPr>
      <w:r>
        <w:rPr>
          <w:rFonts w:hint="eastAsia" w:ascii="宋体" w:hAnsi="宋体" w:cs="仿宋"/>
          <w:color w:val="auto"/>
          <w:highlight w:val="none"/>
        </w:rPr>
        <w:t>续上表</w:t>
      </w:r>
    </w:p>
    <w:tbl>
      <w:tblPr>
        <w:tblStyle w:val="7"/>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545"/>
      </w:tblGrid>
      <w:tr w14:paraId="6B6A7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noWrap w:val="0"/>
            <w:vAlign w:val="center"/>
          </w:tcPr>
          <w:p w14:paraId="0D78E27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条款号</w:t>
            </w:r>
          </w:p>
        </w:tc>
        <w:tc>
          <w:tcPr>
            <w:tcW w:w="935" w:type="dxa"/>
            <w:noWrap w:val="0"/>
            <w:vAlign w:val="center"/>
          </w:tcPr>
          <w:p w14:paraId="1CC7DF2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评审因素</w:t>
            </w:r>
          </w:p>
        </w:tc>
        <w:tc>
          <w:tcPr>
            <w:tcW w:w="988" w:type="dxa"/>
            <w:noWrap w:val="0"/>
            <w:vAlign w:val="center"/>
          </w:tcPr>
          <w:p w14:paraId="0C6DDB8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评分因素权重分值</w:t>
            </w:r>
          </w:p>
        </w:tc>
        <w:tc>
          <w:tcPr>
            <w:tcW w:w="1411" w:type="dxa"/>
            <w:tcBorders>
              <w:right w:val="single" w:color="auto" w:sz="4" w:space="0"/>
            </w:tcBorders>
            <w:noWrap w:val="0"/>
            <w:vAlign w:val="center"/>
          </w:tcPr>
          <w:p w14:paraId="180E422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各评分因素细分项</w:t>
            </w:r>
          </w:p>
        </w:tc>
        <w:tc>
          <w:tcPr>
            <w:tcW w:w="705" w:type="dxa"/>
            <w:tcBorders>
              <w:left w:val="single" w:color="auto" w:sz="4" w:space="0"/>
              <w:right w:val="single" w:color="auto" w:sz="4" w:space="0"/>
            </w:tcBorders>
            <w:noWrap w:val="0"/>
            <w:vAlign w:val="center"/>
          </w:tcPr>
          <w:p w14:paraId="5661814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分值</w:t>
            </w:r>
          </w:p>
        </w:tc>
        <w:tc>
          <w:tcPr>
            <w:tcW w:w="4545" w:type="dxa"/>
            <w:tcBorders>
              <w:left w:val="single" w:color="auto" w:sz="4" w:space="0"/>
            </w:tcBorders>
            <w:noWrap w:val="0"/>
            <w:vAlign w:val="center"/>
          </w:tcPr>
          <w:p w14:paraId="71BBC67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 xml:space="preserve">评分标准 </w:t>
            </w:r>
          </w:p>
        </w:tc>
      </w:tr>
      <w:tr w14:paraId="1AA601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restart"/>
            <w:noWrap w:val="0"/>
            <w:vAlign w:val="center"/>
          </w:tcPr>
          <w:p w14:paraId="39D4C91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2.2.4（1）</w:t>
            </w:r>
          </w:p>
        </w:tc>
        <w:tc>
          <w:tcPr>
            <w:tcW w:w="935" w:type="dxa"/>
            <w:vMerge w:val="restart"/>
            <w:noWrap w:val="0"/>
            <w:vAlign w:val="center"/>
          </w:tcPr>
          <w:p w14:paraId="262AD3C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技术建议书（暗标部分）</w:t>
            </w:r>
          </w:p>
        </w:tc>
        <w:tc>
          <w:tcPr>
            <w:tcW w:w="988" w:type="dxa"/>
            <w:vMerge w:val="restart"/>
            <w:noWrap w:val="0"/>
            <w:vAlign w:val="center"/>
          </w:tcPr>
          <w:p w14:paraId="3C3C76C0">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35分</w:t>
            </w:r>
          </w:p>
        </w:tc>
        <w:tc>
          <w:tcPr>
            <w:tcW w:w="1411" w:type="dxa"/>
            <w:vMerge w:val="restart"/>
            <w:tcBorders>
              <w:right w:val="single" w:color="auto" w:sz="4" w:space="0"/>
            </w:tcBorders>
            <w:noWrap w:val="0"/>
            <w:vAlign w:val="center"/>
          </w:tcPr>
          <w:p w14:paraId="4312C21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工程决算范围、内容、步骤和程序</w:t>
            </w:r>
          </w:p>
        </w:tc>
        <w:tc>
          <w:tcPr>
            <w:tcW w:w="705" w:type="dxa"/>
            <w:vMerge w:val="restart"/>
            <w:tcBorders>
              <w:left w:val="single" w:color="auto" w:sz="4" w:space="0"/>
              <w:bottom w:val="single" w:color="auto" w:sz="4" w:space="0"/>
              <w:right w:val="single" w:color="auto" w:sz="4" w:space="0"/>
            </w:tcBorders>
            <w:noWrap w:val="0"/>
            <w:vAlign w:val="center"/>
          </w:tcPr>
          <w:p w14:paraId="08409EB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left w:val="single" w:color="auto" w:sz="4" w:space="0"/>
              <w:bottom w:val="single" w:color="auto" w:sz="4" w:space="0"/>
            </w:tcBorders>
            <w:noWrap w:val="0"/>
            <w:vAlign w:val="center"/>
          </w:tcPr>
          <w:p w14:paraId="527ADAA9">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描述准确、步骤和程序全面、具体、可行得4.0-5.0分。</w:t>
            </w:r>
          </w:p>
        </w:tc>
      </w:tr>
      <w:tr w14:paraId="42ECE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CBDA655">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4553EB91">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5EA4AF70">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35BAB533">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5519005E">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70E283E8">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描述较准确、步骤和程序较全面、具备一定可行性得3.5-4.0分。</w:t>
            </w:r>
          </w:p>
        </w:tc>
      </w:tr>
      <w:tr w14:paraId="19B94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7" w:hRule="atLeast"/>
          <w:jc w:val="center"/>
        </w:trPr>
        <w:tc>
          <w:tcPr>
            <w:tcW w:w="791" w:type="dxa"/>
            <w:vMerge w:val="continue"/>
            <w:noWrap w:val="0"/>
            <w:vAlign w:val="center"/>
          </w:tcPr>
          <w:p w14:paraId="59F57655">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4E0415D">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63BBBA41">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3D40CD1D">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2DAA79A4">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61F1A51B">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描述，步骤、程序、可行性一般得3.0-3.5分。</w:t>
            </w:r>
          </w:p>
        </w:tc>
      </w:tr>
      <w:tr w14:paraId="5A85C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7" w:hRule="atLeast"/>
          <w:jc w:val="center"/>
        </w:trPr>
        <w:tc>
          <w:tcPr>
            <w:tcW w:w="791" w:type="dxa"/>
            <w:vMerge w:val="continue"/>
            <w:noWrap w:val="0"/>
            <w:vAlign w:val="center"/>
          </w:tcPr>
          <w:p w14:paraId="2F46CC46">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3DEEFC5">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BB82DD2">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29FADF4B">
            <w:pPr>
              <w:spacing w:line="400" w:lineRule="exact"/>
              <w:jc w:val="center"/>
              <w:rPr>
                <w:rFonts w:hint="eastAsia" w:ascii="宋体" w:hAnsi="宋体" w:cs="仿宋"/>
                <w:color w:val="auto"/>
                <w:szCs w:val="21"/>
                <w:highlight w:val="none"/>
              </w:rPr>
            </w:pPr>
            <w:r>
              <w:rPr>
                <w:rFonts w:hint="eastAsia" w:ascii="宋体" w:hAnsi="宋体" w:cs="宋体"/>
                <w:color w:val="auto"/>
                <w:szCs w:val="21"/>
                <w:highlight w:val="none"/>
              </w:rPr>
              <w:t>重点及难点分析</w:t>
            </w:r>
          </w:p>
        </w:tc>
        <w:tc>
          <w:tcPr>
            <w:tcW w:w="705" w:type="dxa"/>
            <w:vMerge w:val="restart"/>
            <w:tcBorders>
              <w:top w:val="single" w:color="auto" w:sz="4" w:space="0"/>
              <w:left w:val="single" w:color="auto" w:sz="4" w:space="0"/>
              <w:right w:val="single" w:color="auto" w:sz="4" w:space="0"/>
            </w:tcBorders>
            <w:noWrap w:val="0"/>
            <w:vAlign w:val="center"/>
          </w:tcPr>
          <w:p w14:paraId="21EBCD0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bottom w:val="single" w:color="auto" w:sz="4" w:space="0"/>
            </w:tcBorders>
            <w:noWrap w:val="0"/>
            <w:vAlign w:val="center"/>
          </w:tcPr>
          <w:p w14:paraId="0FF86926">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分析透彻、措施具体得力得8.0-10分。</w:t>
            </w:r>
          </w:p>
        </w:tc>
      </w:tr>
      <w:tr w14:paraId="5335D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jc w:val="center"/>
        </w:trPr>
        <w:tc>
          <w:tcPr>
            <w:tcW w:w="791" w:type="dxa"/>
            <w:vMerge w:val="continue"/>
            <w:noWrap w:val="0"/>
            <w:vAlign w:val="center"/>
          </w:tcPr>
          <w:p w14:paraId="1F7D58B7">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79B6DF0">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663B4D4">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41F16B71">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2AB73C70">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21606B20">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分析较全面、措施较得力得7.0-8.0分。</w:t>
            </w:r>
          </w:p>
        </w:tc>
      </w:tr>
      <w:tr w14:paraId="2E70A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3" w:hRule="atLeast"/>
          <w:jc w:val="center"/>
        </w:trPr>
        <w:tc>
          <w:tcPr>
            <w:tcW w:w="791" w:type="dxa"/>
            <w:vMerge w:val="continue"/>
            <w:noWrap w:val="0"/>
            <w:vAlign w:val="center"/>
          </w:tcPr>
          <w:p w14:paraId="509F83E4">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B5C5556">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995D569">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65CC11E2">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713B477B">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382A7640">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一般得6.0-7.0分。</w:t>
            </w:r>
          </w:p>
        </w:tc>
      </w:tr>
      <w:tr w14:paraId="599FC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14E23DF4">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2CCE32DE">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41411B11">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22EEC3EF">
            <w:pPr>
              <w:spacing w:line="400" w:lineRule="exact"/>
              <w:rPr>
                <w:rFonts w:hint="eastAsia" w:ascii="宋体" w:hAnsi="宋体" w:cs="仿宋"/>
                <w:color w:val="auto"/>
                <w:szCs w:val="21"/>
                <w:highlight w:val="none"/>
              </w:rPr>
            </w:pPr>
            <w:r>
              <w:rPr>
                <w:rFonts w:hint="eastAsia" w:ascii="宋体" w:hAnsi="宋体" w:cs="宋体"/>
                <w:color w:val="auto"/>
                <w:szCs w:val="21"/>
                <w:highlight w:val="none"/>
              </w:rPr>
              <w:t>工作质量控制方法及措施</w:t>
            </w:r>
          </w:p>
        </w:tc>
        <w:tc>
          <w:tcPr>
            <w:tcW w:w="705" w:type="dxa"/>
            <w:vMerge w:val="restart"/>
            <w:tcBorders>
              <w:left w:val="single" w:color="auto" w:sz="4" w:space="0"/>
              <w:right w:val="single" w:color="auto" w:sz="4" w:space="0"/>
            </w:tcBorders>
            <w:noWrap w:val="0"/>
            <w:vAlign w:val="center"/>
          </w:tcPr>
          <w:p w14:paraId="24682D8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tcBorders>
            <w:noWrap w:val="0"/>
            <w:vAlign w:val="center"/>
          </w:tcPr>
          <w:p w14:paraId="7450B747">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拟采取的控制方法及措施符合法律法规要求，针对性、可操作性强得8.0-10分。</w:t>
            </w:r>
          </w:p>
        </w:tc>
      </w:tr>
      <w:tr w14:paraId="381F6A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23139878">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77BC527">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92BDE2F">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608C7AF1">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52E81609">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2F577E3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拟采取的控制方法及措施符合法律法规要求，针对性、可操作性较强得7.0-8.0分。</w:t>
            </w:r>
          </w:p>
        </w:tc>
      </w:tr>
      <w:tr w14:paraId="0EC15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6660A239">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25AB2ED7">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9D1EA14">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0268D047">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0B7F77EA">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4A5A0B62">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拟采取的控制方法及措施符合法律法规要求，针对性、可操作性一般得6.0-7.0分。</w:t>
            </w:r>
          </w:p>
        </w:tc>
      </w:tr>
      <w:tr w14:paraId="0023F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6B8A7DC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5F100DBC">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55FB53B4">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7DBF4ED4">
            <w:pPr>
              <w:spacing w:line="400" w:lineRule="exact"/>
              <w:jc w:val="center"/>
              <w:rPr>
                <w:rFonts w:hint="eastAsia" w:ascii="宋体" w:hAnsi="宋体" w:cs="仿宋"/>
                <w:color w:val="auto"/>
                <w:szCs w:val="21"/>
                <w:highlight w:val="none"/>
              </w:rPr>
            </w:pPr>
            <w:r>
              <w:rPr>
                <w:rFonts w:hint="eastAsia" w:ascii="宋体" w:hAnsi="宋体" w:cs="宋体"/>
                <w:color w:val="auto"/>
                <w:szCs w:val="21"/>
                <w:highlight w:val="none"/>
              </w:rPr>
              <w:t>工作进度安排</w:t>
            </w:r>
          </w:p>
        </w:tc>
        <w:tc>
          <w:tcPr>
            <w:tcW w:w="705" w:type="dxa"/>
            <w:vMerge w:val="restart"/>
            <w:tcBorders>
              <w:left w:val="single" w:color="auto" w:sz="4" w:space="0"/>
              <w:right w:val="single" w:color="auto" w:sz="4" w:space="0"/>
            </w:tcBorders>
            <w:noWrap w:val="0"/>
            <w:vAlign w:val="center"/>
          </w:tcPr>
          <w:p w14:paraId="079098A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top w:val="single" w:color="auto" w:sz="4" w:space="0"/>
              <w:left w:val="single" w:color="auto" w:sz="4" w:space="0"/>
            </w:tcBorders>
            <w:noWrap w:val="0"/>
            <w:vAlign w:val="center"/>
          </w:tcPr>
          <w:p w14:paraId="7AD3A8BE">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进度安排合理周密，完全满足项目要求得4.0-5.0分。</w:t>
            </w:r>
          </w:p>
        </w:tc>
      </w:tr>
      <w:tr w14:paraId="0AEE5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6853B7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4B5DCC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58E2D599">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2B02B763">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12F2D43D">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15D9BED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进度安排较合理，能较好满足项目要求得3.5-4.0分。</w:t>
            </w:r>
          </w:p>
        </w:tc>
      </w:tr>
      <w:tr w14:paraId="7A8DF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8" w:hRule="atLeast"/>
          <w:jc w:val="center"/>
        </w:trPr>
        <w:tc>
          <w:tcPr>
            <w:tcW w:w="791" w:type="dxa"/>
            <w:vMerge w:val="continue"/>
            <w:noWrap w:val="0"/>
            <w:vAlign w:val="center"/>
          </w:tcPr>
          <w:p w14:paraId="340BC7B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1A77245B">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52F4C047">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58B49F89">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76030B87">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3C81E93E">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进度安排一般，基本满足项目要求得3.0-3.5分。</w:t>
            </w:r>
          </w:p>
        </w:tc>
      </w:tr>
      <w:tr w14:paraId="58891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9" w:hRule="atLeast"/>
          <w:jc w:val="center"/>
        </w:trPr>
        <w:tc>
          <w:tcPr>
            <w:tcW w:w="791" w:type="dxa"/>
            <w:vMerge w:val="continue"/>
            <w:noWrap w:val="0"/>
            <w:vAlign w:val="center"/>
          </w:tcPr>
          <w:p w14:paraId="292DFA9A">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2F990BFC">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0B51E52">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top w:val="single" w:color="auto" w:sz="4" w:space="0"/>
              <w:bottom w:val="single" w:color="auto" w:sz="4" w:space="0"/>
              <w:right w:val="single" w:color="auto" w:sz="4" w:space="0"/>
            </w:tcBorders>
            <w:noWrap w:val="0"/>
            <w:vAlign w:val="center"/>
          </w:tcPr>
          <w:p w14:paraId="2FA5A632">
            <w:pPr>
              <w:spacing w:line="400" w:lineRule="exact"/>
              <w:jc w:val="center"/>
              <w:rPr>
                <w:rFonts w:hint="eastAsia" w:ascii="宋体" w:hAnsi="宋体" w:cs="仿宋"/>
                <w:color w:val="auto"/>
                <w:szCs w:val="21"/>
                <w:highlight w:val="none"/>
              </w:rPr>
            </w:pPr>
            <w:r>
              <w:rPr>
                <w:rFonts w:hint="eastAsia"/>
                <w:color w:val="auto"/>
                <w:szCs w:val="21"/>
                <w:highlight w:val="none"/>
              </w:rPr>
              <w:t>服务承诺</w:t>
            </w:r>
          </w:p>
        </w:tc>
        <w:tc>
          <w:tcPr>
            <w:tcW w:w="705" w:type="dxa"/>
            <w:vMerge w:val="restart"/>
            <w:tcBorders>
              <w:top w:val="single" w:color="auto" w:sz="4" w:space="0"/>
              <w:left w:val="single" w:color="auto" w:sz="4" w:space="0"/>
              <w:bottom w:val="single" w:color="auto" w:sz="4" w:space="0"/>
              <w:right w:val="single" w:color="auto" w:sz="4" w:space="0"/>
            </w:tcBorders>
            <w:noWrap w:val="0"/>
            <w:vAlign w:val="center"/>
          </w:tcPr>
          <w:p w14:paraId="76D92FC7">
            <w:pPr>
              <w:spacing w:line="400" w:lineRule="exact"/>
              <w:jc w:val="center"/>
              <w:rPr>
                <w:rFonts w:hint="eastAsia" w:ascii="宋体" w:hAnsi="宋体" w:eastAsia="宋体" w:cs="仿宋"/>
                <w:color w:val="auto"/>
                <w:szCs w:val="21"/>
                <w:highlight w:val="none"/>
              </w:rPr>
            </w:pPr>
            <w:r>
              <w:rPr>
                <w:rFonts w:hint="eastAsia" w:ascii="宋体" w:hAnsi="宋体" w:eastAsia="宋体" w:cs="仿宋"/>
                <w:color w:val="auto"/>
                <w:szCs w:val="21"/>
                <w:highlight w:val="none"/>
              </w:rPr>
              <w:t>5分</w:t>
            </w:r>
          </w:p>
        </w:tc>
        <w:tc>
          <w:tcPr>
            <w:tcW w:w="4545" w:type="dxa"/>
            <w:tcBorders>
              <w:top w:val="single" w:color="auto" w:sz="4" w:space="0"/>
              <w:left w:val="single" w:color="auto" w:sz="4" w:space="0"/>
              <w:bottom w:val="single" w:color="auto" w:sz="4" w:space="0"/>
            </w:tcBorders>
            <w:noWrap w:val="0"/>
            <w:vAlign w:val="top"/>
          </w:tcPr>
          <w:p w14:paraId="1BF3088B">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承诺详细、具体、响应程度高得4.0-5.0分。</w:t>
            </w:r>
          </w:p>
        </w:tc>
      </w:tr>
      <w:tr w14:paraId="2761AA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1" w:hRule="atLeast"/>
          <w:jc w:val="center"/>
        </w:trPr>
        <w:tc>
          <w:tcPr>
            <w:tcW w:w="791" w:type="dxa"/>
            <w:vMerge w:val="continue"/>
            <w:noWrap w:val="0"/>
            <w:vAlign w:val="center"/>
          </w:tcPr>
          <w:p w14:paraId="1592C1F6">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474EE7C0">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6BDC925C">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69448ACA">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549676A2">
            <w:pPr>
              <w:spacing w:line="400" w:lineRule="exact"/>
              <w:jc w:val="center"/>
              <w:rPr>
                <w:rFonts w:hint="eastAsia" w:ascii="宋体" w:hAnsi="宋体" w:eastAsia="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top"/>
          </w:tcPr>
          <w:p w14:paraId="1E48961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承诺较详细、响应程度较高得3.5-4.0分。</w:t>
            </w:r>
          </w:p>
        </w:tc>
      </w:tr>
      <w:tr w14:paraId="2FBFB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9" w:hRule="atLeast"/>
          <w:jc w:val="center"/>
        </w:trPr>
        <w:tc>
          <w:tcPr>
            <w:tcW w:w="791" w:type="dxa"/>
            <w:vMerge w:val="continue"/>
            <w:noWrap w:val="0"/>
            <w:vAlign w:val="center"/>
          </w:tcPr>
          <w:p w14:paraId="77D79DC1">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5387CDD4">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597034FA">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469C082A">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2920CF5E">
            <w:pPr>
              <w:spacing w:line="400" w:lineRule="exact"/>
              <w:jc w:val="center"/>
              <w:rPr>
                <w:rFonts w:hint="eastAsia" w:ascii="宋体" w:hAnsi="宋体" w:eastAsia="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top"/>
          </w:tcPr>
          <w:p w14:paraId="32ACC5AF">
            <w:pPr>
              <w:adjustRightInd w:val="0"/>
              <w:spacing w:line="400" w:lineRule="exact"/>
              <w:rPr>
                <w:rFonts w:ascii="宋体" w:hAnsi="宋体" w:cs="仿宋"/>
                <w:color w:val="auto"/>
                <w:szCs w:val="21"/>
                <w:highlight w:val="none"/>
              </w:rPr>
            </w:pPr>
            <w:r>
              <w:rPr>
                <w:rFonts w:hint="eastAsia" w:ascii="宋体" w:hAnsi="宋体" w:cs="仿宋"/>
                <w:color w:val="auto"/>
                <w:szCs w:val="21"/>
                <w:highlight w:val="none"/>
              </w:rPr>
              <w:t>一般得3.0-3.5分。</w:t>
            </w:r>
          </w:p>
        </w:tc>
      </w:tr>
      <w:tr w14:paraId="2EDC1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749E1E8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2.2.4（2）</w:t>
            </w:r>
          </w:p>
        </w:tc>
        <w:tc>
          <w:tcPr>
            <w:tcW w:w="935" w:type="dxa"/>
            <w:vMerge w:val="restart"/>
            <w:noWrap w:val="0"/>
            <w:vAlign w:val="center"/>
          </w:tcPr>
          <w:p w14:paraId="2855D96C">
            <w:pPr>
              <w:spacing w:line="400" w:lineRule="exact"/>
              <w:jc w:val="center"/>
              <w:rPr>
                <w:rFonts w:hint="eastAsia" w:ascii="宋体" w:hAnsi="宋体" w:cs="仿宋"/>
                <w:color w:val="auto"/>
                <w:kern w:val="0"/>
                <w:szCs w:val="21"/>
                <w:highlight w:val="none"/>
              </w:rPr>
            </w:pPr>
            <w:r>
              <w:rPr>
                <w:rFonts w:hint="eastAsia" w:ascii="宋体" w:hAnsi="宋体" w:cs="仿宋"/>
                <w:color w:val="auto"/>
                <w:kern w:val="0"/>
                <w:szCs w:val="21"/>
                <w:highlight w:val="none"/>
              </w:rPr>
              <w:t>主要人员（明标部分）</w:t>
            </w:r>
          </w:p>
        </w:tc>
        <w:tc>
          <w:tcPr>
            <w:tcW w:w="988" w:type="dxa"/>
            <w:vMerge w:val="restart"/>
            <w:noWrap w:val="0"/>
            <w:vAlign w:val="center"/>
          </w:tcPr>
          <w:p w14:paraId="5EB518E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718BBE9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项目负责人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7301EBE">
            <w:pPr>
              <w:spacing w:line="400" w:lineRule="exact"/>
              <w:jc w:val="center"/>
              <w:rPr>
                <w:rFonts w:hint="eastAsia" w:ascii="宋体" w:hAnsi="宋体" w:eastAsia="宋体" w:cs="仿宋"/>
                <w:color w:val="auto"/>
                <w:szCs w:val="21"/>
                <w:highlight w:val="none"/>
              </w:rPr>
            </w:pPr>
            <w:r>
              <w:rPr>
                <w:rFonts w:hint="eastAsia" w:ascii="宋体" w:hAnsi="宋体" w:eastAsia="宋体" w:cs="仿宋"/>
                <w:color w:val="auto"/>
                <w:szCs w:val="21"/>
                <w:highlight w:val="none"/>
                <w:lang w:val="en-US" w:eastAsia="zh-CN"/>
              </w:rPr>
              <w:t>9</w:t>
            </w:r>
            <w:r>
              <w:rPr>
                <w:rFonts w:hint="eastAsia" w:ascii="宋体" w:hAnsi="宋体" w:eastAsia="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5AD07F47">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r>
      <w:tr w14:paraId="7740D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36E5B854">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22CD9F2B">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172DC352">
            <w:pPr>
              <w:spacing w:line="400" w:lineRule="exact"/>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707F8724">
            <w:pPr>
              <w:spacing w:line="400" w:lineRule="exact"/>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2A80B72E">
            <w:pPr>
              <w:spacing w:line="400" w:lineRule="exact"/>
              <w:jc w:val="center"/>
              <w:rPr>
                <w:rFonts w:hint="eastAsia" w:ascii="宋体" w:hAnsi="宋体" w:eastAsia="宋体" w:cs="仿宋"/>
                <w:color w:val="auto"/>
                <w:szCs w:val="21"/>
                <w:highlight w:val="none"/>
              </w:rPr>
            </w:pPr>
            <w:r>
              <w:rPr>
                <w:rFonts w:hint="eastAsia" w:ascii="宋体" w:hAnsi="宋体" w:eastAsia="宋体" w:cs="仿宋"/>
                <w:color w:val="auto"/>
                <w:szCs w:val="21"/>
                <w:highlight w:val="none"/>
                <w:lang w:val="en-US" w:eastAsia="zh-CN"/>
              </w:rPr>
              <w:t>6</w:t>
            </w:r>
            <w:r>
              <w:rPr>
                <w:rFonts w:hint="eastAsia" w:ascii="宋体" w:hAnsi="宋体" w:eastAsia="宋体" w:cs="仿宋"/>
                <w:color w:val="auto"/>
                <w:szCs w:val="21"/>
                <w:highlight w:val="none"/>
              </w:rPr>
              <w:t>分</w:t>
            </w:r>
          </w:p>
        </w:tc>
        <w:tc>
          <w:tcPr>
            <w:tcW w:w="4545" w:type="dxa"/>
            <w:tcBorders>
              <w:top w:val="single" w:color="auto" w:sz="4" w:space="0"/>
              <w:left w:val="single" w:color="auto" w:sz="4" w:space="0"/>
            </w:tcBorders>
            <w:noWrap w:val="0"/>
            <w:vAlign w:val="center"/>
          </w:tcPr>
          <w:p w14:paraId="6566EAB8">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每增加1个满足附件1附录4资格审查条件（项目负责人最低要求）中的业绩加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分，本项最多加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r>
      <w:tr w14:paraId="5008CA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noWrap w:val="0"/>
            <w:vAlign w:val="center"/>
          </w:tcPr>
          <w:p w14:paraId="161F163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2.2.4（3）</w:t>
            </w:r>
          </w:p>
        </w:tc>
        <w:tc>
          <w:tcPr>
            <w:tcW w:w="935" w:type="dxa"/>
            <w:noWrap w:val="0"/>
            <w:vAlign w:val="center"/>
          </w:tcPr>
          <w:p w14:paraId="334D3F8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评标价</w:t>
            </w:r>
            <w:r>
              <w:rPr>
                <w:rFonts w:hint="eastAsia" w:ascii="宋体" w:hAnsi="宋体" w:cs="仿宋"/>
                <w:color w:val="auto"/>
                <w:kern w:val="0"/>
                <w:szCs w:val="21"/>
                <w:highlight w:val="none"/>
              </w:rPr>
              <w:t>（明标部分）</w:t>
            </w:r>
          </w:p>
        </w:tc>
        <w:tc>
          <w:tcPr>
            <w:tcW w:w="988" w:type="dxa"/>
            <w:noWrap w:val="0"/>
            <w:vAlign w:val="center"/>
          </w:tcPr>
          <w:p w14:paraId="41EBCA8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30分</w:t>
            </w:r>
          </w:p>
        </w:tc>
        <w:tc>
          <w:tcPr>
            <w:tcW w:w="6661" w:type="dxa"/>
            <w:gridSpan w:val="3"/>
            <w:tcBorders>
              <w:top w:val="single" w:color="auto" w:sz="4" w:space="0"/>
            </w:tcBorders>
            <w:noWrap w:val="0"/>
            <w:vAlign w:val="center"/>
          </w:tcPr>
          <w:p w14:paraId="4DC0C542">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评标价得分计算公式示例：</w:t>
            </w:r>
          </w:p>
          <w:p w14:paraId="14E0CBD6">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（1）如果投标人的评标价＞评标基准价，则投标价得分=F-（投标人投标价-评标基准价）/评标基准价×100×E1；</w:t>
            </w:r>
          </w:p>
          <w:p w14:paraId="69BABB1D">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（2）如果投标人的评标价≤评标基准价，则投标价得分=F+(投标人投标价-评标基准价)/评标基准价×100×E2。</w:t>
            </w:r>
          </w:p>
          <w:p w14:paraId="608DD997">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其中，F=30；E1= 0.4；E2= 0.2；投标价最低得分为0分。</w:t>
            </w:r>
          </w:p>
        </w:tc>
      </w:tr>
      <w:tr w14:paraId="52FA5E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noWrap w:val="0"/>
            <w:vAlign w:val="center"/>
          </w:tcPr>
          <w:p w14:paraId="21A58AA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2.2.4（4）</w:t>
            </w:r>
          </w:p>
        </w:tc>
        <w:tc>
          <w:tcPr>
            <w:tcW w:w="935" w:type="dxa"/>
            <w:vMerge w:val="restart"/>
            <w:tcBorders>
              <w:right w:val="single" w:color="auto" w:sz="4" w:space="0"/>
            </w:tcBorders>
            <w:noWrap w:val="0"/>
            <w:vAlign w:val="center"/>
          </w:tcPr>
          <w:p w14:paraId="788DB3C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kern w:val="0"/>
                <w:szCs w:val="21"/>
                <w:highlight w:val="none"/>
              </w:rPr>
              <w:t>（明标部分）</w:t>
            </w:r>
          </w:p>
        </w:tc>
        <w:tc>
          <w:tcPr>
            <w:tcW w:w="988" w:type="dxa"/>
            <w:vMerge w:val="restart"/>
            <w:tcBorders>
              <w:left w:val="single" w:color="auto" w:sz="4" w:space="0"/>
            </w:tcBorders>
            <w:noWrap w:val="0"/>
            <w:vAlign w:val="center"/>
          </w:tcPr>
          <w:p w14:paraId="25EF4A7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78201A2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企业</w:t>
            </w:r>
            <w:r>
              <w:rPr>
                <w:rFonts w:hint="eastAsia" w:ascii="宋体" w:hAnsi="宋体" w:cs="仿宋"/>
                <w:color w:val="auto"/>
                <w:szCs w:val="21"/>
                <w:highlight w:val="none"/>
              </w:rPr>
              <w:t>业绩</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D5B523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344988FD">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r>
      <w:tr w14:paraId="6B74A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DD68946">
            <w:pPr>
              <w:spacing w:line="400" w:lineRule="exact"/>
              <w:ind w:firstLine="420" w:firstLineChars="200"/>
              <w:rPr>
                <w:rFonts w:hint="eastAsia" w:ascii="宋体" w:hAnsi="宋体" w:cs="仿宋"/>
                <w:color w:val="auto"/>
                <w:szCs w:val="21"/>
                <w:highlight w:val="none"/>
              </w:rPr>
            </w:pPr>
          </w:p>
        </w:tc>
        <w:tc>
          <w:tcPr>
            <w:tcW w:w="935" w:type="dxa"/>
            <w:vMerge w:val="continue"/>
            <w:tcBorders>
              <w:right w:val="single" w:color="auto" w:sz="4" w:space="0"/>
            </w:tcBorders>
            <w:noWrap w:val="0"/>
            <w:vAlign w:val="center"/>
          </w:tcPr>
          <w:p w14:paraId="398653F4">
            <w:pPr>
              <w:spacing w:line="400" w:lineRule="exact"/>
              <w:ind w:firstLine="420" w:firstLineChars="200"/>
              <w:rPr>
                <w:rFonts w:hint="eastAsia" w:ascii="宋体" w:hAnsi="宋体" w:cs="仿宋"/>
                <w:color w:val="auto"/>
                <w:szCs w:val="21"/>
                <w:highlight w:val="none"/>
              </w:rPr>
            </w:pPr>
          </w:p>
        </w:tc>
        <w:tc>
          <w:tcPr>
            <w:tcW w:w="988" w:type="dxa"/>
            <w:vMerge w:val="continue"/>
            <w:tcBorders>
              <w:left w:val="single" w:color="auto" w:sz="4" w:space="0"/>
            </w:tcBorders>
            <w:noWrap w:val="0"/>
            <w:vAlign w:val="center"/>
          </w:tcPr>
          <w:p w14:paraId="59FC78D9">
            <w:pPr>
              <w:spacing w:line="400" w:lineRule="exact"/>
              <w:ind w:firstLine="420" w:firstLineChars="200"/>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77C04073">
            <w:pPr>
              <w:spacing w:line="400" w:lineRule="exact"/>
              <w:ind w:firstLine="420" w:firstLineChars="200"/>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3707CC66">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69A1EE1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每增加1个满足附件1附录2资格审查条件（业绩最低要求）的业绩，</w:t>
            </w:r>
            <w:r>
              <w:rPr>
                <w:rFonts w:hint="eastAsia" w:ascii="宋体" w:hAnsi="宋体" w:cs="仿宋"/>
                <w:color w:val="auto"/>
                <w:szCs w:val="21"/>
                <w:highlight w:val="none"/>
                <w:lang w:val="en-US" w:eastAsia="zh-CN"/>
              </w:rPr>
              <w:t>加4</w:t>
            </w:r>
            <w:r>
              <w:rPr>
                <w:rFonts w:hint="eastAsia" w:ascii="宋体" w:hAnsi="宋体" w:cs="仿宋"/>
                <w:color w:val="auto"/>
                <w:szCs w:val="21"/>
                <w:highlight w:val="none"/>
              </w:rPr>
              <w:t>分，最高</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w:t>
            </w:r>
          </w:p>
        </w:tc>
      </w:tr>
    </w:tbl>
    <w:p w14:paraId="591D69BB">
      <w:pPr>
        <w:jc w:val="right"/>
        <w:rPr>
          <w:rFonts w:hint="eastAsia" w:ascii="宋体" w:hAnsi="宋体" w:cs="仿宋"/>
          <w:color w:val="auto"/>
          <w:highlight w:val="none"/>
        </w:rPr>
      </w:pPr>
    </w:p>
    <w:p w14:paraId="4F4470E8">
      <w:pPr>
        <w:pStyle w:val="6"/>
        <w:textAlignment w:val="baseline"/>
        <w:rPr>
          <w:rFonts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6840E597">
      <w:pPr>
        <w:pStyle w:val="6"/>
        <w:ind w:firstLine="420" w:firstLineChars="200"/>
        <w:textAlignment w:val="baseline"/>
        <w:rPr>
          <w:rFonts w:hint="eastAsia" w:hAnsi="宋体" w:eastAsia="宋体"/>
          <w:color w:val="auto"/>
          <w:highlight w:val="none"/>
          <w:lang w:eastAsia="zh-CN"/>
        </w:rPr>
      </w:pPr>
      <w:r>
        <w:rPr>
          <w:rFonts w:hint="eastAsia" w:hAnsi="宋体"/>
          <w:color w:val="auto"/>
          <w:highlight w:val="none"/>
        </w:rPr>
        <w:t>2、第2.2.4（1）项各评分因素得分一般不应低于其权重分值的60%，评标委员会成员对某一项评分因素的评分低于权重分值 60%的，应在评标报告中作出说明。</w:t>
      </w:r>
      <w:r>
        <w:rPr>
          <w:rFonts w:hint="eastAsia" w:hAnsi="宋体"/>
          <w:color w:val="auto"/>
          <w:highlight w:val="none"/>
          <w:lang w:eastAsia="zh-CN"/>
        </w:rPr>
        <w:t>评分因素细分项缺项则该项得0分。</w:t>
      </w:r>
    </w:p>
    <w:p w14:paraId="3B02DE4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861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240" w:lineRule="auto"/>
      <w:jc w:val="left"/>
      <w:outlineLvl w:val="2"/>
    </w:pPr>
    <w:rPr>
      <w:rFonts w:ascii="Times New Roman" w:hAnsi="Times New Roman" w:eastAsia="宋体"/>
      <w:b/>
      <w:bCs/>
      <w:sz w:val="24"/>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szCs w:val="22"/>
    </w:rPr>
  </w:style>
  <w:style w:type="paragraph" w:styleId="4">
    <w:name w:val="Body Text"/>
    <w:basedOn w:val="1"/>
    <w:next w:val="5"/>
    <w:qFormat/>
    <w:uiPriority w:val="99"/>
    <w:pPr>
      <w:spacing w:after="120"/>
    </w:pPr>
    <w:rPr>
      <w:rFonts w:eastAsia="Times New Roman"/>
    </w:rPr>
  </w:style>
  <w:style w:type="paragraph" w:styleId="5">
    <w:name w:val="Body Text 2"/>
    <w:basedOn w:val="1"/>
    <w:next w:val="1"/>
    <w:qFormat/>
    <w:uiPriority w:val="0"/>
    <w:rPr>
      <w:rFonts w:ascii="宋体" w:hAnsi="宋体" w:eastAsia="Times New Roman"/>
      <w:sz w:val="28"/>
    </w:rPr>
  </w:style>
  <w:style w:type="paragraph" w:styleId="6">
    <w:name w:val="Plain Text"/>
    <w:basedOn w:val="1"/>
    <w:qFormat/>
    <w:uiPriority w:val="99"/>
    <w:rPr>
      <w:rFonts w:ascii="宋体" w:hAnsi="Courier New"/>
      <w:szCs w:val="20"/>
    </w:rPr>
  </w:style>
  <w:style w:type="paragraph" w:customStyle="1" w:styleId="9">
    <w:name w:val="样式44"/>
    <w:basedOn w:val="3"/>
    <w:qFormat/>
    <w:uiPriority w:val="0"/>
    <w:pPr>
      <w:spacing w:before="0" w:after="0" w:line="360" w:lineRule="auto"/>
      <w:jc w:val="both"/>
    </w:pPr>
    <w:rPr>
      <w:kern w:val="28"/>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2025-09-08T07:31:14Z</dcterms:created>
  <dc:creator>Huawei</dc:creator>
  <cp:lastModifiedBy>Huawei</cp:lastModifiedBy>
  <dcterms:modified xsi:type="dcterms:W3CDTF">2025-09-08T07:31:30Z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eyJoZGlkIjoiMDhmMGI2NTlmNmFiNTQwOThkZDAyYzI1OWZlYzI0MzUifQ==</vt:lpwstr>
  </property>
  <property fmtid="{D5CDD505-2E9C-101B-9397-08002B2CF9AE}" pid="4" name="ICV">
    <vt:lpwstr>1FF5D1A0C7184C75AD26CDA5F3A5544D_12</vt:lpwstr>
  </property>
</Properties>
</file>