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2"/>
        <w:rPr>
          <w:rFonts w:ascii="宋体" w:hAnsi="宋体" w:cs="宋体"/>
          <w:color w:val="auto"/>
          <w:sz w:val="24"/>
          <w:szCs w:val="24"/>
          <w:highlight w:val="none"/>
        </w:rPr>
      </w:pPr>
      <w:r>
        <w:rPr>
          <w:rFonts w:hint="eastAsia" w:ascii="宋体" w:hAnsi="宋体" w:cs="宋体"/>
          <w:b/>
          <w:color w:val="auto"/>
          <w:sz w:val="24"/>
          <w:szCs w:val="24"/>
          <w:highlight w:val="none"/>
        </w:rPr>
        <w:t>附件1：资格审查条件</w:t>
      </w:r>
    </w:p>
    <w:p>
      <w:pPr>
        <w:pStyle w:val="4"/>
        <w:rPr>
          <w:rFonts w:ascii="宋体" w:hAnsi="宋体" w:cs="宋体"/>
          <w:b/>
          <w:color w:val="auto"/>
          <w:sz w:val="24"/>
          <w:highlight w:val="none"/>
        </w:rPr>
      </w:pPr>
    </w:p>
    <w:p>
      <w:pPr>
        <w:pStyle w:val="13"/>
        <w:adjustRightInd w:val="0"/>
        <w:snapToGrid w:val="0"/>
        <w:ind w:firstLine="422"/>
        <w:jc w:val="center"/>
        <w:rPr>
          <w:rFonts w:ascii="宋体" w:hAnsi="宋体" w:cs="宋体"/>
          <w:b/>
          <w:color w:val="auto"/>
          <w:sz w:val="24"/>
          <w:szCs w:val="24"/>
          <w:highlight w:val="none"/>
          <w:shd w:val="clear" w:color="auto" w:fill="FFFFFF"/>
        </w:rPr>
      </w:pPr>
      <w:bookmarkStart w:id="0" w:name="_Hlk44947073"/>
      <w:r>
        <w:rPr>
          <w:rFonts w:hint="eastAsia" w:ascii="宋体" w:hAnsi="宋体" w:cs="宋体"/>
          <w:b/>
          <w:color w:val="auto"/>
          <w:sz w:val="24"/>
          <w:szCs w:val="24"/>
          <w:highlight w:val="none"/>
          <w:shd w:val="clear" w:color="auto" w:fill="FFFFFF"/>
        </w:rPr>
        <w:t>附录1  资格审查条件(资质最低条件)</w:t>
      </w:r>
    </w:p>
    <w:bookmarkEnd w:id="0"/>
    <w:tbl>
      <w:tblPr>
        <w:tblStyle w:val="11"/>
        <w:tblpPr w:leftFromText="180" w:rightFromText="180" w:vertAnchor="text" w:horzAnchor="page" w:tblpXSpec="center" w:tblpY="258"/>
        <w:tblOverlap w:val="neve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21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jc w:val="center"/>
        </w:trPr>
        <w:tc>
          <w:tcPr>
            <w:tcW w:w="9213" w:type="dxa"/>
            <w:vAlign w:val="center"/>
          </w:tcPr>
          <w:p>
            <w:pPr>
              <w:wordWrap w:val="0"/>
              <w:adjustRightInd w:val="0"/>
              <w:snapToGrid w:val="0"/>
              <w:spacing w:line="360" w:lineRule="auto"/>
              <w:jc w:val="center"/>
              <w:rPr>
                <w:rFonts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资质要求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781" w:hRule="atLeast"/>
          <w:jc w:val="center"/>
        </w:trPr>
        <w:tc>
          <w:tcPr>
            <w:tcW w:w="9213" w:type="dxa"/>
            <w:tcBorders>
              <w:bottom w:val="single" w:color="auto" w:sz="4" w:space="0"/>
            </w:tcBorders>
            <w:vAlign w:val="center"/>
          </w:tcPr>
          <w:p>
            <w:pPr>
              <w:adjustRightInd w:val="0"/>
              <w:snapToGrid w:val="0"/>
              <w:rPr>
                <w:rFonts w:ascii="宋体" w:hAnsi="宋体" w:cs="宋体"/>
                <w:color w:val="auto"/>
                <w:sz w:val="24"/>
                <w:szCs w:val="24"/>
                <w:highlight w:val="none"/>
              </w:rPr>
            </w:pPr>
            <w:r>
              <w:rPr>
                <w:rFonts w:hint="eastAsia" w:ascii="宋体" w:hAnsi="宋体" w:cs="宋体"/>
                <w:color w:val="auto"/>
                <w:sz w:val="24"/>
                <w:szCs w:val="24"/>
                <w:highlight w:val="none"/>
              </w:rPr>
              <w:t>投标人如为制造商：</w:t>
            </w:r>
          </w:p>
          <w:p>
            <w:pPr>
              <w:adjustRightInd w:val="0"/>
              <w:snapToGrid w:val="0"/>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1.具有独立企业法人资格，持有有效企业营业执照；</w:t>
            </w:r>
          </w:p>
          <w:p>
            <w:pPr>
              <w:adjustRightInd w:val="0"/>
              <w:snapToGrid w:val="0"/>
              <w:rPr>
                <w:rFonts w:ascii="宋体" w:hAnsi="宋体" w:cs="宋体"/>
                <w:color w:val="auto"/>
                <w:sz w:val="24"/>
                <w:szCs w:val="24"/>
                <w:highlight w:val="none"/>
              </w:rPr>
            </w:pPr>
            <w:r>
              <w:rPr>
                <w:rFonts w:hint="eastAsia" w:ascii="宋体" w:hAnsi="宋体" w:cs="宋体"/>
                <w:color w:val="auto"/>
                <w:sz w:val="24"/>
                <w:szCs w:val="24"/>
                <w:highlight w:val="none"/>
              </w:rPr>
              <w:t>投标人如为代理商：</w:t>
            </w:r>
          </w:p>
          <w:p>
            <w:pPr>
              <w:adjustRightInd w:val="0"/>
              <w:snapToGrid w:val="0"/>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2.具有独立企业法人资格，持有有效企业营业执照，具有制造商出具的针对本招标项目所投办公家具（仅限供货要求中带★的产品）的唯一授权书，且该制造商满足前述关于“制造商”的要求。</w:t>
            </w:r>
          </w:p>
        </w:tc>
      </w:tr>
    </w:tbl>
    <w:p>
      <w:pPr>
        <w:pStyle w:val="13"/>
        <w:wordWrap w:val="0"/>
        <w:adjustRightInd w:val="0"/>
        <w:snapToGrid w:val="0"/>
        <w:ind w:left="200" w:leftChars="100" w:firstLine="422"/>
        <w:rPr>
          <w:rFonts w:ascii="宋体" w:hAnsi="宋体" w:cs="宋体"/>
          <w:b/>
          <w:color w:val="auto"/>
          <w:sz w:val="24"/>
          <w:szCs w:val="24"/>
          <w:highlight w:val="none"/>
          <w:shd w:val="clear" w:color="auto" w:fill="FFFFFF"/>
        </w:rPr>
      </w:pPr>
    </w:p>
    <w:p>
      <w:pPr>
        <w:pStyle w:val="13"/>
        <w:wordWrap w:val="0"/>
        <w:adjustRightInd w:val="0"/>
        <w:snapToGrid w:val="0"/>
        <w:ind w:left="200" w:leftChars="100" w:firstLine="422"/>
        <w:rPr>
          <w:rFonts w:ascii="宋体" w:hAnsi="宋体" w:cs="宋体"/>
          <w:b/>
          <w:color w:val="auto"/>
          <w:sz w:val="24"/>
          <w:szCs w:val="24"/>
          <w:highlight w:val="none"/>
          <w:shd w:val="clear" w:color="auto" w:fill="FFFFFF"/>
        </w:rPr>
      </w:pPr>
    </w:p>
    <w:p>
      <w:pPr>
        <w:pStyle w:val="13"/>
        <w:wordWrap w:val="0"/>
        <w:adjustRightInd w:val="0"/>
        <w:snapToGrid w:val="0"/>
        <w:ind w:left="200" w:leftChars="100" w:firstLine="422"/>
        <w:rPr>
          <w:rFonts w:ascii="宋体" w:hAnsi="宋体" w:cs="宋体"/>
          <w:b/>
          <w:color w:val="auto"/>
          <w:sz w:val="24"/>
          <w:szCs w:val="24"/>
          <w:highlight w:val="none"/>
          <w:shd w:val="clear" w:color="auto" w:fill="FFFFFF"/>
        </w:rPr>
      </w:pPr>
    </w:p>
    <w:p>
      <w:pPr>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附录2  资格审查条件(业绩最低要求)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210" w:type="dxa"/>
            <w:vAlign w:val="center"/>
          </w:tcPr>
          <w:p>
            <w:pPr>
              <w:adjustRightInd w:val="0"/>
              <w:snapToGrid w:val="0"/>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9210" w:type="dxa"/>
            <w:vAlign w:val="center"/>
          </w:tcPr>
          <w:p>
            <w:pPr>
              <w:adjustRightInd w:val="0"/>
              <w:snapToGrid w:val="0"/>
              <w:ind w:firstLine="480" w:firstLineChars="200"/>
              <w:rPr>
                <w:rFonts w:ascii="宋体" w:hAnsi="宋体" w:cs="宋体"/>
                <w:b/>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近3年（2022年3月1日至今，以合同签订时间为准）承揽过1项合同额不少于800万元的办公家具供货业绩。</w:t>
            </w:r>
          </w:p>
        </w:tc>
      </w:tr>
    </w:tbl>
    <w:p>
      <w:pPr>
        <w:spacing w:line="288" w:lineRule="auto"/>
        <w:rPr>
          <w:rFonts w:ascii="宋体" w:hAnsi="宋体" w:cs="宋体"/>
          <w:color w:val="auto"/>
          <w:sz w:val="24"/>
          <w:szCs w:val="24"/>
          <w:highlight w:val="none"/>
          <w:shd w:val="clear" w:color="auto" w:fill="FFFFFF"/>
        </w:rPr>
      </w:pPr>
      <w:bookmarkStart w:id="3" w:name="_GoBack"/>
      <w:bookmarkEnd w:id="3"/>
      <w:r>
        <w:rPr>
          <w:rFonts w:hint="eastAsia" w:ascii="宋体" w:hAnsi="宋体" w:cs="宋体"/>
          <w:color w:val="auto"/>
          <w:sz w:val="24"/>
          <w:szCs w:val="24"/>
          <w:highlight w:val="none"/>
        </w:rPr>
        <w:t>注：</w:t>
      </w:r>
      <w:bookmarkStart w:id="1" w:name="_Hlk167799518"/>
      <w:r>
        <w:rPr>
          <w:rFonts w:hint="eastAsia" w:ascii="宋体" w:hAnsi="宋体" w:cs="宋体"/>
          <w:color w:val="auto"/>
          <w:sz w:val="24"/>
          <w:szCs w:val="24"/>
          <w:highlight w:val="none"/>
          <w:shd w:val="clear" w:color="auto" w:fill="FFFFFF"/>
        </w:rPr>
        <w:t>代理商和制造商的业绩可互用，以上业绩不包含制造商和代理商签订的合同</w:t>
      </w:r>
      <w:bookmarkEnd w:id="1"/>
      <w:r>
        <w:rPr>
          <w:rFonts w:hint="eastAsia" w:ascii="宋体" w:hAnsi="宋体" w:cs="宋体"/>
          <w:color w:val="auto"/>
          <w:sz w:val="24"/>
          <w:szCs w:val="24"/>
          <w:highlight w:val="none"/>
        </w:rPr>
        <w:t>。</w:t>
      </w:r>
    </w:p>
    <w:p>
      <w:pPr>
        <w:ind w:left="200" w:leftChars="100"/>
        <w:rPr>
          <w:rFonts w:ascii="宋体" w:hAnsi="宋体" w:cs="宋体"/>
          <w:color w:val="auto"/>
          <w:sz w:val="24"/>
          <w:szCs w:val="24"/>
          <w:highlight w:val="none"/>
        </w:rPr>
      </w:pPr>
    </w:p>
    <w:p>
      <w:pPr>
        <w:ind w:left="200" w:leftChars="100"/>
        <w:rPr>
          <w:rFonts w:ascii="宋体" w:hAnsi="宋体" w:cs="宋体"/>
          <w:color w:val="auto"/>
          <w:sz w:val="24"/>
          <w:szCs w:val="24"/>
          <w:highlight w:val="none"/>
        </w:rPr>
      </w:pPr>
    </w:p>
    <w:p>
      <w:pPr>
        <w:ind w:left="200" w:leftChars="100"/>
        <w:rPr>
          <w:rFonts w:ascii="宋体" w:hAnsi="宋体" w:cs="宋体"/>
          <w:color w:val="auto"/>
          <w:sz w:val="24"/>
          <w:szCs w:val="24"/>
          <w:highlight w:val="none"/>
        </w:rPr>
      </w:pPr>
    </w:p>
    <w:p>
      <w:pPr>
        <w:ind w:left="200" w:leftChars="10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附录3  资格审查条件(信誉最低要求)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219" w:type="dxa"/>
            <w:vAlign w:val="center"/>
          </w:tcPr>
          <w:p>
            <w:pPr>
              <w:adjustRightInd w:val="0"/>
              <w:snapToGrid w:val="0"/>
              <w:ind w:left="100" w:leftChars="50"/>
              <w:jc w:val="center"/>
              <w:rPr>
                <w:rFonts w:ascii="宋体" w:hAnsi="宋体" w:cs="宋体"/>
                <w:b/>
                <w:color w:val="auto"/>
                <w:sz w:val="24"/>
                <w:szCs w:val="24"/>
                <w:highlight w:val="none"/>
                <w:shd w:val="clear" w:color="auto" w:fill="FFFFFF"/>
              </w:rPr>
            </w:pPr>
            <w:r>
              <w:rPr>
                <w:rFonts w:hint="eastAsia" w:ascii="宋体" w:hAnsi="宋体" w:cs="宋体"/>
                <w:b/>
                <w:color w:val="auto"/>
                <w:sz w:val="24"/>
                <w:szCs w:val="24"/>
                <w:highlight w:val="none"/>
                <w:shd w:val="clear" w:color="auto" w:fill="FFFFFF"/>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9219" w:type="dxa"/>
            <w:vAlign w:val="center"/>
          </w:tcPr>
          <w:p>
            <w:pPr>
              <w:adjustRightInd w:val="0"/>
              <w:spacing w:line="360" w:lineRule="auto"/>
              <w:ind w:left="100" w:leftChars="50" w:firstLine="480" w:firstLineChars="200"/>
              <w:rPr>
                <w:rFonts w:ascii="宋体" w:hAnsi="宋体" w:cs="宋体"/>
                <w:b/>
                <w:color w:val="auto"/>
                <w:sz w:val="24"/>
                <w:szCs w:val="24"/>
                <w:highlight w:val="none"/>
                <w:shd w:val="clear" w:color="auto" w:fill="FFFFFF"/>
              </w:rPr>
            </w:pPr>
            <w:r>
              <w:rPr>
                <w:rFonts w:hint="eastAsia" w:ascii="宋体" w:hAnsi="宋体" w:cs="宋体"/>
                <w:color w:val="auto"/>
                <w:sz w:val="24"/>
                <w:szCs w:val="24"/>
                <w:highlight w:val="none"/>
              </w:rPr>
              <w:t>投标人在过去1年中(2024年3月1日至今)不曾在办公家具供货合同中违约而被驱逐或因投标人自身的原因而使办公家具供货合同被解除。</w:t>
            </w:r>
          </w:p>
        </w:tc>
      </w:tr>
    </w:tbl>
    <w:p>
      <w:pPr>
        <w:pStyle w:val="14"/>
        <w:ind w:left="400"/>
        <w:rPr>
          <w:rFonts w:ascii="宋体" w:hAnsi="宋体" w:cs="宋体"/>
          <w:color w:val="auto"/>
          <w:sz w:val="24"/>
          <w:highlight w:val="none"/>
        </w:rPr>
      </w:pPr>
    </w:p>
    <w:p>
      <w:pPr>
        <w:pStyle w:val="14"/>
        <w:pageBreakBefore/>
        <w:snapToGrid w:val="0"/>
        <w:spacing w:after="0" w:line="360" w:lineRule="auto"/>
        <w:ind w:left="0" w:firstLine="0"/>
        <w:outlineLvl w:val="2"/>
        <w:rPr>
          <w:color w:val="auto"/>
          <w:sz w:val="24"/>
          <w:highlight w:val="none"/>
        </w:rPr>
      </w:pPr>
      <w:r>
        <w:rPr>
          <w:rFonts w:hint="eastAsia" w:ascii="宋体" w:hAnsi="宋体" w:cs="宋体"/>
          <w:b/>
          <w:color w:val="auto"/>
          <w:sz w:val="24"/>
          <w:highlight w:val="none"/>
        </w:rPr>
        <w:t>附件2：评标办法前附表</w:t>
      </w:r>
    </w:p>
    <w:p>
      <w:pPr>
        <w:widowControl w:val="0"/>
        <w:autoSpaceDE w:val="0"/>
        <w:autoSpaceDN w:val="0"/>
        <w:adjustRightInd w:val="0"/>
        <w:rPr>
          <w:rFonts w:ascii="宋体" w:hAnsi="宋体" w:cs="微软雅黑"/>
          <w:b/>
          <w:color w:val="auto"/>
          <w:sz w:val="24"/>
          <w:szCs w:val="24"/>
          <w:highlight w:val="none"/>
        </w:rPr>
      </w:pPr>
      <w:bookmarkStart w:id="2" w:name="__RefHeading___Toc22300259"/>
      <w:bookmarkEnd w:id="2"/>
      <w:r>
        <w:rPr>
          <w:rFonts w:hint="eastAsia" w:ascii="宋体" w:hAnsi="宋体" w:cs="微软雅黑"/>
          <w:b/>
          <w:color w:val="auto"/>
          <w:sz w:val="24"/>
          <w:szCs w:val="24"/>
          <w:highlight w:val="none"/>
        </w:rPr>
        <w:t>评标办法前附表</w:t>
      </w:r>
    </w:p>
    <w:tbl>
      <w:tblPr>
        <w:tblStyle w:val="11"/>
        <w:tblW w:w="9649" w:type="dxa"/>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2603"/>
        <w:gridCol w:w="4919"/>
      </w:tblGrid>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PrEx>
        <w:trPr>
          <w:trHeight w:val="567" w:hRule="atLeast"/>
          <w:jc w:val="center"/>
        </w:trPr>
        <w:tc>
          <w:tcPr>
            <w:tcW w:w="2127" w:type="dxa"/>
            <w:gridSpan w:val="2"/>
            <w:tcBorders>
              <w:tl2br w:val="nil"/>
              <w:tr2bl w:val="nil"/>
            </w:tcBorders>
            <w:vAlign w:val="center"/>
          </w:tcPr>
          <w:p>
            <w:pPr>
              <w:widowControl w:val="0"/>
              <w:autoSpaceDE w:val="0"/>
              <w:autoSpaceDN w:val="0"/>
              <w:spacing w:line="400" w:lineRule="exact"/>
              <w:ind w:left="20" w:leftChars="10" w:right="634"/>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条款号</w:t>
            </w: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评审因素</w:t>
            </w:r>
          </w:p>
        </w:tc>
        <w:tc>
          <w:tcPr>
            <w:tcW w:w="4919" w:type="dxa"/>
            <w:tcBorders>
              <w:tl2br w:val="nil"/>
              <w:tr2bl w:val="nil"/>
            </w:tcBorders>
            <w:vAlign w:val="center"/>
          </w:tcPr>
          <w:p>
            <w:pPr>
              <w:widowControl w:val="0"/>
              <w:autoSpaceDE w:val="0"/>
              <w:autoSpaceDN w:val="0"/>
              <w:spacing w:line="400" w:lineRule="exact"/>
              <w:ind w:left="20" w:leftChars="10" w:right="1857"/>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评审标准</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tcBorders>
              <w:tl2br w:val="nil"/>
              <w:tr2bl w:val="nil"/>
            </w:tcBorders>
            <w:vAlign w:val="center"/>
          </w:tcPr>
          <w:p>
            <w:pPr>
              <w:widowControl w:val="0"/>
              <w:autoSpaceDE w:val="0"/>
              <w:autoSpaceDN w:val="0"/>
              <w:spacing w:line="400" w:lineRule="exact"/>
              <w:ind w:left="20" w:leftChars="10" w:right="337"/>
              <w:jc w:val="center"/>
              <w:rPr>
                <w:rFonts w:ascii="宋体" w:hAnsi="宋体" w:cs="Times New Roman"/>
                <w:color w:val="auto"/>
                <w:sz w:val="24"/>
                <w:szCs w:val="24"/>
                <w:highlight w:val="none"/>
              </w:rPr>
            </w:pPr>
            <w:r>
              <w:rPr>
                <w:rFonts w:ascii="宋体" w:hAnsi="宋体" w:cs="Times New Roman"/>
                <w:color w:val="auto"/>
                <w:sz w:val="24"/>
                <w:szCs w:val="24"/>
                <w:highlight w:val="none"/>
              </w:rPr>
              <w:t>1</w:t>
            </w:r>
          </w:p>
        </w:tc>
        <w:tc>
          <w:tcPr>
            <w:tcW w:w="1181"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评标</w:t>
            </w:r>
            <w:r>
              <w:rPr>
                <w:rFonts w:hint="eastAsia" w:ascii="宋体" w:hAnsi="宋体" w:cs="微软雅黑"/>
                <w:color w:val="auto"/>
                <w:spacing w:val="-2"/>
                <w:sz w:val="24"/>
                <w:szCs w:val="24"/>
                <w:highlight w:val="none"/>
              </w:rPr>
              <w:t>方</w:t>
            </w:r>
            <w:r>
              <w:rPr>
                <w:rFonts w:hint="eastAsia" w:ascii="宋体" w:hAnsi="宋体" w:cs="微软雅黑"/>
                <w:color w:val="auto"/>
                <w:sz w:val="24"/>
                <w:szCs w:val="24"/>
                <w:highlight w:val="none"/>
              </w:rPr>
              <w:t>法</w:t>
            </w: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中标</w:t>
            </w:r>
            <w:r>
              <w:rPr>
                <w:rFonts w:hint="eastAsia" w:ascii="宋体" w:hAnsi="宋体" w:cs="微软雅黑"/>
                <w:color w:val="auto"/>
                <w:spacing w:val="-2"/>
                <w:sz w:val="24"/>
                <w:szCs w:val="24"/>
                <w:highlight w:val="none"/>
              </w:rPr>
              <w:t>候</w:t>
            </w:r>
            <w:r>
              <w:rPr>
                <w:rFonts w:hint="eastAsia" w:ascii="宋体" w:hAnsi="宋体" w:cs="微软雅黑"/>
                <w:color w:val="auto"/>
                <w:sz w:val="24"/>
                <w:szCs w:val="24"/>
                <w:highlight w:val="none"/>
              </w:rPr>
              <w:t>选</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排</w:t>
            </w:r>
            <w:r>
              <w:rPr>
                <w:rFonts w:hint="eastAsia" w:ascii="宋体" w:hAnsi="宋体" w:cs="微软雅黑"/>
                <w:color w:val="auto"/>
                <w:spacing w:val="-2"/>
                <w:sz w:val="24"/>
                <w:szCs w:val="24"/>
                <w:highlight w:val="none"/>
              </w:rPr>
              <w:t>序</w:t>
            </w:r>
            <w:r>
              <w:rPr>
                <w:rFonts w:hint="eastAsia" w:ascii="宋体" w:hAnsi="宋体" w:cs="微软雅黑"/>
                <w:color w:val="auto"/>
                <w:sz w:val="24"/>
                <w:szCs w:val="24"/>
                <w:highlight w:val="none"/>
              </w:rPr>
              <w:t>方法</w:t>
            </w:r>
          </w:p>
        </w:tc>
        <w:tc>
          <w:tcPr>
            <w:tcW w:w="4919" w:type="dxa"/>
            <w:tcBorders>
              <w:tl2br w:val="nil"/>
              <w:tr2bl w:val="nil"/>
            </w:tcBorders>
            <w:vAlign w:val="center"/>
          </w:tcPr>
          <w:p>
            <w:pPr>
              <w:widowControl w:val="0"/>
              <w:spacing w:line="400" w:lineRule="exact"/>
              <w:ind w:left="20" w:leftChars="10"/>
              <w:jc w:val="both"/>
              <w:rPr>
                <w:rFonts w:cs="Times New Roman"/>
                <w:color w:val="auto"/>
                <w:kern w:val="2"/>
                <w:sz w:val="24"/>
                <w:szCs w:val="24"/>
                <w:highlight w:val="none"/>
              </w:rPr>
            </w:pPr>
            <w:r>
              <w:rPr>
                <w:rFonts w:hint="eastAsia" w:ascii="宋体" w:hAnsi="宋体" w:cs="宋体"/>
                <w:color w:val="auto"/>
                <w:spacing w:val="-1"/>
                <w:kern w:val="2"/>
                <w:sz w:val="24"/>
                <w:szCs w:val="24"/>
                <w:highlight w:val="none"/>
              </w:rPr>
              <w:t>本条修改为：</w:t>
            </w:r>
          </w:p>
          <w:p>
            <w:pPr>
              <w:spacing w:line="400" w:lineRule="exact"/>
              <w:ind w:left="20" w:leftChars="10"/>
              <w:rPr>
                <w:rFonts w:ascii="宋体" w:hAnsi="宋体" w:cs="宋体"/>
                <w:bCs/>
                <w:color w:val="auto"/>
                <w:sz w:val="24"/>
                <w:szCs w:val="24"/>
                <w:highlight w:val="none"/>
              </w:rPr>
            </w:pPr>
            <w:r>
              <w:rPr>
                <w:rFonts w:hint="eastAsia" w:ascii="宋体" w:hAnsi="宋体" w:cs="宋体"/>
                <w:color w:val="auto"/>
                <w:spacing w:val="-1"/>
                <w:kern w:val="2"/>
                <w:sz w:val="24"/>
                <w:szCs w:val="24"/>
                <w:highlight w:val="none"/>
              </w:rPr>
              <w:t>本次评标采用综合评估法。评标委员会对满足招标文件实质性要求的投标文件，按照本章第2.2款规定的评分标准进行打分，并按综合得分由高到低顺序推荐1-3名</w:t>
            </w:r>
            <w:r>
              <w:rPr>
                <w:rFonts w:ascii="宋体" w:hAnsi="宋体" w:cs="宋体"/>
                <w:color w:val="auto"/>
                <w:spacing w:val="-1"/>
                <w:kern w:val="2"/>
                <w:sz w:val="24"/>
                <w:szCs w:val="24"/>
                <w:highlight w:val="none"/>
              </w:rPr>
              <w:t>为</w:t>
            </w:r>
            <w:r>
              <w:rPr>
                <w:rFonts w:hint="eastAsia" w:ascii="宋体" w:hAnsi="宋体" w:cs="宋体"/>
                <w:color w:val="auto"/>
                <w:spacing w:val="-1"/>
                <w:kern w:val="2"/>
                <w:sz w:val="24"/>
                <w:szCs w:val="24"/>
                <w:highlight w:val="none"/>
              </w:rPr>
              <w:t>中标候选人。综合得分相等时，</w:t>
            </w:r>
            <w:r>
              <w:rPr>
                <w:rFonts w:hint="eastAsia" w:ascii="宋体" w:hAnsi="宋体" w:cs="宋体"/>
                <w:bCs/>
                <w:color w:val="auto"/>
                <w:sz w:val="24"/>
                <w:szCs w:val="24"/>
                <w:highlight w:val="none"/>
              </w:rPr>
              <w:t>评标委员会依次按照以下优先顺序推荐中标候选人：</w:t>
            </w:r>
          </w:p>
          <w:p>
            <w:pPr>
              <w:widowControl w:val="0"/>
              <w:spacing w:line="400" w:lineRule="exact"/>
              <w:ind w:left="20" w:leftChars="10"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w:t>
            </w:r>
            <w:r>
              <w:rPr>
                <w:rFonts w:ascii="宋体" w:hAnsi="宋体" w:cs="宋体"/>
                <w:bCs/>
                <w:color w:val="auto"/>
                <w:sz w:val="24"/>
                <w:szCs w:val="24"/>
                <w:highlight w:val="none"/>
              </w:rPr>
              <w:t>1）</w:t>
            </w:r>
            <w:r>
              <w:rPr>
                <w:rFonts w:hint="eastAsia" w:ascii="宋体" w:hAnsi="宋体" w:cs="宋体"/>
                <w:bCs/>
                <w:color w:val="auto"/>
                <w:sz w:val="24"/>
                <w:szCs w:val="24"/>
                <w:highlight w:val="none"/>
              </w:rPr>
              <w:t>评标价低的投标人</w:t>
            </w:r>
            <w:r>
              <w:rPr>
                <w:rFonts w:hint="eastAsia" w:ascii="宋体" w:hAnsi="宋体" w:cs="宋体"/>
                <w:bCs/>
                <w:color w:val="auto"/>
                <w:sz w:val="24"/>
                <w:szCs w:val="24"/>
                <w:highlight w:val="none"/>
                <w:lang w:eastAsia="zh-Hans"/>
              </w:rPr>
              <w:t>优先</w:t>
            </w:r>
            <w:r>
              <w:rPr>
                <w:rFonts w:hint="eastAsia" w:ascii="宋体" w:hAnsi="宋体" w:cs="宋体"/>
                <w:bCs/>
                <w:color w:val="auto"/>
                <w:sz w:val="24"/>
                <w:szCs w:val="24"/>
                <w:highlight w:val="none"/>
              </w:rPr>
              <w:t>；</w:t>
            </w:r>
          </w:p>
          <w:p>
            <w:pPr>
              <w:widowControl w:val="0"/>
              <w:autoSpaceDE w:val="0"/>
              <w:autoSpaceDN w:val="0"/>
              <w:spacing w:line="400" w:lineRule="exact"/>
              <w:ind w:left="20" w:leftChars="10" w:firstLine="480" w:firstLineChars="200"/>
              <w:jc w:val="both"/>
              <w:rPr>
                <w:rFonts w:ascii="宋体" w:hAnsi="宋体" w:cs="Times New Roman"/>
                <w:color w:val="auto"/>
                <w:sz w:val="24"/>
                <w:szCs w:val="24"/>
                <w:highlight w:val="none"/>
              </w:rPr>
            </w:pPr>
            <w:r>
              <w:rPr>
                <w:rFonts w:hint="eastAsia" w:ascii="宋体" w:hAnsi="宋体" w:cs="宋体"/>
                <w:bCs/>
                <w:color w:val="auto"/>
                <w:sz w:val="24"/>
                <w:szCs w:val="24"/>
                <w:highlight w:val="none"/>
              </w:rPr>
              <w:t>（2）实施方案得分高的投标人优先。</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2.1.1</w:t>
            </w:r>
          </w:p>
        </w:tc>
        <w:tc>
          <w:tcPr>
            <w:tcW w:w="1181" w:type="dxa"/>
            <w:vMerge w:val="restart"/>
            <w:tcBorders>
              <w:tl2br w:val="nil"/>
              <w:tr2bl w:val="nil"/>
            </w:tcBorders>
            <w:vAlign w:val="center"/>
          </w:tcPr>
          <w:p>
            <w:pPr>
              <w:widowControl w:val="0"/>
              <w:autoSpaceDE w:val="0"/>
              <w:autoSpaceDN w:val="0"/>
              <w:spacing w:line="400" w:lineRule="exact"/>
              <w:ind w:left="229" w:leftChars="10" w:right="60" w:hanging="209"/>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形式</w:t>
            </w:r>
            <w:r>
              <w:rPr>
                <w:rFonts w:hint="eastAsia" w:ascii="宋体" w:hAnsi="宋体" w:cs="微软雅黑"/>
                <w:color w:val="auto"/>
                <w:spacing w:val="-2"/>
                <w:sz w:val="24"/>
                <w:szCs w:val="24"/>
                <w:highlight w:val="none"/>
              </w:rPr>
              <w:t>评</w:t>
            </w:r>
            <w:r>
              <w:rPr>
                <w:rFonts w:hint="eastAsia" w:ascii="宋体" w:hAnsi="宋体" w:cs="微软雅黑"/>
                <w:color w:val="auto"/>
                <w:sz w:val="24"/>
                <w:szCs w:val="24"/>
                <w:highlight w:val="none"/>
              </w:rPr>
              <w:t>审标准</w:t>
            </w: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名称</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与营</w:t>
            </w:r>
            <w:r>
              <w:rPr>
                <w:rFonts w:hint="eastAsia" w:ascii="宋体" w:hAnsi="宋体" w:cs="微软雅黑"/>
                <w:color w:val="auto"/>
                <w:spacing w:val="-2"/>
                <w:sz w:val="24"/>
                <w:szCs w:val="24"/>
                <w:highlight w:val="none"/>
              </w:rPr>
              <w:t>业</w:t>
            </w:r>
            <w:r>
              <w:rPr>
                <w:rFonts w:hint="eastAsia" w:ascii="宋体" w:hAnsi="宋体" w:cs="微软雅黑"/>
                <w:color w:val="auto"/>
                <w:sz w:val="24"/>
                <w:szCs w:val="24"/>
                <w:highlight w:val="none"/>
              </w:rPr>
              <w:t>执</w:t>
            </w:r>
            <w:r>
              <w:rPr>
                <w:rFonts w:hint="eastAsia" w:ascii="宋体" w:hAnsi="宋体" w:cs="微软雅黑"/>
                <w:color w:val="auto"/>
                <w:spacing w:val="-2"/>
                <w:sz w:val="24"/>
                <w:szCs w:val="24"/>
                <w:highlight w:val="none"/>
              </w:rPr>
              <w:t>照一</w:t>
            </w:r>
            <w:r>
              <w:rPr>
                <w:rFonts w:hint="eastAsia" w:ascii="宋体" w:hAnsi="宋体" w:cs="微软雅黑"/>
                <w:color w:val="auto"/>
                <w:sz w:val="24"/>
                <w:szCs w:val="24"/>
                <w:highlight w:val="none"/>
              </w:rPr>
              <w:t>致</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spacing w:line="400" w:lineRule="exact"/>
              <w:ind w:left="20" w:leftChars="10"/>
              <w:jc w:val="center"/>
              <w:rPr>
                <w:rFonts w:ascii="宋体" w:hAnsi="宋体" w:cs="Times New Roman"/>
                <w:color w:val="auto"/>
                <w:sz w:val="24"/>
                <w:szCs w:val="24"/>
                <w:highlight w:val="none"/>
              </w:rPr>
            </w:pPr>
            <w:r>
              <w:rPr>
                <w:rFonts w:hint="eastAsia" w:ascii="宋体" w:hAnsi="宋体" w:cs="宋体"/>
                <w:color w:val="auto"/>
                <w:kern w:val="2"/>
                <w:sz w:val="24"/>
                <w:szCs w:val="24"/>
                <w:highlight w:val="none"/>
              </w:rPr>
              <w:t>投标文件签字盖章</w:t>
            </w:r>
          </w:p>
        </w:tc>
        <w:tc>
          <w:tcPr>
            <w:tcW w:w="4919" w:type="dxa"/>
            <w:tcBorders>
              <w:tl2br w:val="nil"/>
              <w:tr2bl w:val="nil"/>
            </w:tcBorders>
            <w:vAlign w:val="center"/>
          </w:tcPr>
          <w:p>
            <w:pPr>
              <w:widowControl w:val="0"/>
              <w:spacing w:line="400" w:lineRule="exact"/>
              <w:ind w:left="20" w:leftChars="10"/>
              <w:jc w:val="both"/>
              <w:rPr>
                <w:rFonts w:ascii="宋体" w:hAnsi="宋体" w:cs="Times New Roman"/>
                <w:color w:val="auto"/>
                <w:sz w:val="24"/>
                <w:szCs w:val="24"/>
                <w:highlight w:val="none"/>
              </w:rPr>
            </w:pPr>
            <w:r>
              <w:rPr>
                <w:rFonts w:hint="eastAsia" w:ascii="宋体" w:hAnsi="宋体" w:cs="宋体"/>
                <w:color w:val="auto"/>
                <w:spacing w:val="-1"/>
                <w:kern w:val="2"/>
                <w:sz w:val="24"/>
                <w:szCs w:val="24"/>
                <w:highlight w:val="none"/>
              </w:rPr>
              <w:t>第六章“投标文件格式”中要求盖单位章和（或）法定代表人或其委托代理人签字的地方，投标人均应使用CA数字证书加盖投标人的单位电子印章和（或）法定代表人或其委托代理人的个人电子印章或电子签名章，无需手签。</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宋体"/>
                <w:color w:val="auto"/>
                <w:kern w:val="2"/>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文</w:t>
            </w:r>
            <w:r>
              <w:rPr>
                <w:rFonts w:hint="eastAsia" w:ascii="宋体" w:hAnsi="宋体" w:cs="微软雅黑"/>
                <w:color w:val="auto"/>
                <w:sz w:val="24"/>
                <w:szCs w:val="24"/>
                <w:highlight w:val="none"/>
              </w:rPr>
              <w:t>件</w:t>
            </w:r>
            <w:r>
              <w:rPr>
                <w:rFonts w:hint="eastAsia" w:ascii="宋体" w:hAnsi="宋体" w:cs="微软雅黑"/>
                <w:color w:val="auto"/>
                <w:spacing w:val="-2"/>
                <w:sz w:val="24"/>
                <w:szCs w:val="24"/>
                <w:highlight w:val="none"/>
              </w:rPr>
              <w:t>格</w:t>
            </w:r>
            <w:r>
              <w:rPr>
                <w:rFonts w:hint="eastAsia" w:ascii="宋体" w:hAnsi="宋体" w:cs="微软雅黑"/>
                <w:color w:val="auto"/>
                <w:sz w:val="24"/>
                <w:szCs w:val="24"/>
                <w:highlight w:val="none"/>
              </w:rPr>
              <w:t>式</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宋体"/>
                <w:color w:val="auto"/>
                <w:spacing w:val="-1"/>
                <w:kern w:val="2"/>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六</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文</w:t>
            </w:r>
            <w:r>
              <w:rPr>
                <w:rFonts w:hint="eastAsia" w:ascii="宋体" w:hAnsi="宋体" w:cs="微软雅黑"/>
                <w:color w:val="auto"/>
                <w:sz w:val="24"/>
                <w:szCs w:val="24"/>
                <w:highlight w:val="none"/>
              </w:rPr>
              <w:t>件</w:t>
            </w:r>
            <w:r>
              <w:rPr>
                <w:rFonts w:hint="eastAsia" w:ascii="宋体" w:hAnsi="宋体" w:cs="微软雅黑"/>
                <w:color w:val="auto"/>
                <w:spacing w:val="-2"/>
                <w:sz w:val="24"/>
                <w:szCs w:val="24"/>
                <w:highlight w:val="none"/>
              </w:rPr>
              <w:t>格</w:t>
            </w:r>
            <w:r>
              <w:rPr>
                <w:rFonts w:hint="eastAsia" w:ascii="宋体" w:hAnsi="宋体" w:cs="微软雅黑"/>
                <w:color w:val="auto"/>
                <w:spacing w:val="-3"/>
                <w:sz w:val="24"/>
                <w:szCs w:val="24"/>
                <w:highlight w:val="none"/>
              </w:rPr>
              <w:t>式</w:t>
            </w:r>
            <w:r>
              <w:rPr>
                <w:rFonts w:ascii="宋体" w:hAnsi="宋体" w:cs="Times New Roman"/>
                <w:color w:val="auto"/>
                <w:sz w:val="24"/>
                <w:szCs w:val="24"/>
                <w:highlight w:val="none"/>
              </w:rPr>
              <w:t>”</w:t>
            </w:r>
            <w:r>
              <w:rPr>
                <w:rFonts w:hint="eastAsia" w:ascii="宋体" w:hAnsi="宋体" w:cs="微软雅黑"/>
                <w:color w:val="auto"/>
                <w:sz w:val="24"/>
                <w:szCs w:val="24"/>
                <w:highlight w:val="none"/>
              </w:rPr>
              <w:t>的</w:t>
            </w:r>
            <w:r>
              <w:rPr>
                <w:rFonts w:hint="eastAsia" w:ascii="宋体" w:hAnsi="宋体" w:cs="微软雅黑"/>
                <w:color w:val="auto"/>
                <w:spacing w:val="-2"/>
                <w:sz w:val="24"/>
                <w:szCs w:val="24"/>
                <w:highlight w:val="none"/>
              </w:rPr>
              <w:t>规</w:t>
            </w:r>
            <w:r>
              <w:rPr>
                <w:rFonts w:hint="eastAsia" w:ascii="宋体" w:hAnsi="宋体" w:cs="微软雅黑"/>
                <w:color w:val="auto"/>
                <w:sz w:val="24"/>
                <w:szCs w:val="24"/>
                <w:highlight w:val="none"/>
              </w:rPr>
              <w:t>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spacing w:line="400" w:lineRule="exact"/>
              <w:ind w:left="20"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联合体投标人</w:t>
            </w:r>
          </w:p>
        </w:tc>
        <w:tc>
          <w:tcPr>
            <w:tcW w:w="4919" w:type="dxa"/>
            <w:tcBorders>
              <w:tl2br w:val="nil"/>
              <w:tr2bl w:val="nil"/>
            </w:tcBorders>
            <w:vAlign w:val="center"/>
          </w:tcPr>
          <w:p>
            <w:pPr>
              <w:widowControl w:val="0"/>
              <w:spacing w:line="400" w:lineRule="exact"/>
              <w:ind w:left="20"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未以联合体形式投标</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spacing w:line="400" w:lineRule="exact"/>
              <w:ind w:left="20"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备选投标方案</w:t>
            </w:r>
          </w:p>
        </w:tc>
        <w:tc>
          <w:tcPr>
            <w:tcW w:w="4919" w:type="dxa"/>
            <w:tcBorders>
              <w:tl2br w:val="nil"/>
              <w:tr2bl w:val="nil"/>
            </w:tcBorders>
            <w:vAlign w:val="center"/>
          </w:tcPr>
          <w:p>
            <w:pPr>
              <w:widowControl w:val="0"/>
              <w:spacing w:line="400" w:lineRule="exact"/>
              <w:ind w:left="20"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未提交备选投标方案</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4089"/>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4089"/>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spacing w:line="400" w:lineRule="exact"/>
              <w:ind w:left="20" w:leftChars="10"/>
              <w:jc w:val="center"/>
              <w:rPr>
                <w:rFonts w:ascii="宋体" w:hAnsi="宋体" w:cs="Times New Roman"/>
                <w:color w:val="auto"/>
                <w:sz w:val="24"/>
                <w:szCs w:val="24"/>
                <w:highlight w:val="none"/>
              </w:rPr>
            </w:pPr>
            <w:r>
              <w:rPr>
                <w:rFonts w:hint="eastAsia" w:ascii="宋体" w:hAnsi="宋体" w:cs="宋体"/>
                <w:color w:val="auto"/>
                <w:kern w:val="2"/>
                <w:sz w:val="24"/>
                <w:szCs w:val="24"/>
                <w:highlight w:val="none"/>
              </w:rPr>
              <w:t>分包</w:t>
            </w:r>
          </w:p>
        </w:tc>
        <w:tc>
          <w:tcPr>
            <w:tcW w:w="4919" w:type="dxa"/>
            <w:tcBorders>
              <w:tl2br w:val="nil"/>
              <w:tr2bl w:val="nil"/>
            </w:tcBorders>
            <w:vAlign w:val="center"/>
          </w:tcPr>
          <w:p>
            <w:pPr>
              <w:widowControl w:val="0"/>
              <w:autoSpaceDE w:val="0"/>
              <w:spacing w:line="400" w:lineRule="exact"/>
              <w:ind w:left="20" w:leftChars="10"/>
              <w:jc w:val="both"/>
              <w:rPr>
                <w:rFonts w:ascii="宋体" w:hAnsi="宋体" w:cs="Times New Roman"/>
                <w:color w:val="auto"/>
                <w:sz w:val="24"/>
                <w:szCs w:val="24"/>
                <w:highlight w:val="none"/>
              </w:rPr>
            </w:pPr>
            <w:r>
              <w:rPr>
                <w:rFonts w:hint="eastAsia" w:ascii="宋体" w:hAnsi="宋体" w:cs="宋体"/>
                <w:color w:val="auto"/>
                <w:kern w:val="2"/>
                <w:sz w:val="24"/>
                <w:szCs w:val="24"/>
                <w:highlight w:val="none"/>
              </w:rPr>
              <w:t>投标人未对本项目提出分包计划</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restart"/>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2.1.2</w:t>
            </w:r>
          </w:p>
        </w:tc>
        <w:tc>
          <w:tcPr>
            <w:tcW w:w="1181" w:type="dxa"/>
            <w:vMerge w:val="restart"/>
            <w:tcBorders>
              <w:tl2br w:val="nil"/>
              <w:tr2bl w:val="nil"/>
            </w:tcBorders>
            <w:vAlign w:val="center"/>
          </w:tcPr>
          <w:p>
            <w:pPr>
              <w:widowControl w:val="0"/>
              <w:autoSpaceDE w:val="0"/>
              <w:autoSpaceDN w:val="0"/>
              <w:spacing w:line="400" w:lineRule="exact"/>
              <w:ind w:left="229" w:leftChars="10" w:right="60" w:hanging="209"/>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资格</w:t>
            </w:r>
            <w:r>
              <w:rPr>
                <w:rFonts w:hint="eastAsia" w:ascii="宋体" w:hAnsi="宋体" w:cs="微软雅黑"/>
                <w:color w:val="auto"/>
                <w:spacing w:val="-2"/>
                <w:sz w:val="24"/>
                <w:szCs w:val="24"/>
                <w:highlight w:val="none"/>
              </w:rPr>
              <w:t>评</w:t>
            </w:r>
            <w:r>
              <w:rPr>
                <w:rFonts w:hint="eastAsia" w:ascii="宋体" w:hAnsi="宋体" w:cs="微软雅黑"/>
                <w:color w:val="auto"/>
                <w:sz w:val="24"/>
                <w:szCs w:val="24"/>
                <w:highlight w:val="none"/>
              </w:rPr>
              <w:t>审标准</w:t>
            </w:r>
          </w:p>
        </w:tc>
        <w:tc>
          <w:tcPr>
            <w:tcW w:w="2603" w:type="dxa"/>
            <w:tcBorders>
              <w:tl2br w:val="nil"/>
              <w:tr2bl w:val="nil"/>
            </w:tcBorders>
            <w:vAlign w:val="center"/>
          </w:tcPr>
          <w:p>
            <w:pPr>
              <w:widowControl w:val="0"/>
              <w:autoSpaceDE w:val="0"/>
              <w:autoSpaceDN w:val="0"/>
              <w:spacing w:line="400" w:lineRule="exact"/>
              <w:ind w:left="20" w:leftChars="10"/>
              <w:jc w:val="center"/>
              <w:rPr>
                <w:rFonts w:ascii="宋体" w:hAnsi="宋体" w:cs="Times New Roman"/>
                <w:color w:val="auto"/>
                <w:sz w:val="24"/>
                <w:szCs w:val="24"/>
                <w:highlight w:val="none"/>
              </w:rPr>
            </w:pPr>
            <w:r>
              <w:rPr>
                <w:rFonts w:hint="eastAsia" w:ascii="宋体" w:hAnsi="宋体" w:cs="Times New Roman"/>
                <w:bCs/>
                <w:color w:val="auto"/>
                <w:kern w:val="2"/>
                <w:sz w:val="24"/>
                <w:szCs w:val="24"/>
                <w:highlight w:val="none"/>
              </w:rPr>
              <w:t>资质要求</w:t>
            </w:r>
          </w:p>
        </w:tc>
        <w:tc>
          <w:tcPr>
            <w:tcW w:w="4919" w:type="dxa"/>
            <w:tcBorders>
              <w:tl2br w:val="nil"/>
              <w:tr2bl w:val="nil"/>
            </w:tcBorders>
            <w:vAlign w:val="center"/>
          </w:tcPr>
          <w:p>
            <w:pPr>
              <w:widowControl w:val="0"/>
              <w:autoSpaceDE w:val="0"/>
              <w:autoSpaceDN w:val="0"/>
              <w:spacing w:line="400" w:lineRule="exact"/>
              <w:ind w:left="20" w:leftChars="10" w:right="26"/>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业绩</w:t>
            </w:r>
            <w:r>
              <w:rPr>
                <w:rFonts w:hint="eastAsia" w:ascii="宋体" w:hAnsi="宋体" w:cs="微软雅黑"/>
                <w:color w:val="auto"/>
                <w:spacing w:val="-2"/>
                <w:sz w:val="24"/>
                <w:szCs w:val="24"/>
                <w:highlight w:val="none"/>
              </w:rPr>
              <w:t>要</w:t>
            </w:r>
            <w:r>
              <w:rPr>
                <w:rFonts w:hint="eastAsia" w:ascii="宋体" w:hAnsi="宋体" w:cs="微软雅黑"/>
                <w:color w:val="auto"/>
                <w:sz w:val="24"/>
                <w:szCs w:val="24"/>
                <w:highlight w:val="none"/>
              </w:rPr>
              <w:t>求</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jc w:val="center"/>
              <w:rPr>
                <w:rFonts w:ascii="宋体" w:hAnsi="宋体" w:cs="微软雅黑"/>
                <w:color w:val="auto"/>
                <w:sz w:val="24"/>
                <w:szCs w:val="24"/>
                <w:highlight w:val="none"/>
              </w:rPr>
            </w:pPr>
            <w:r>
              <w:rPr>
                <w:rFonts w:hint="eastAsia" w:ascii="宋体" w:hAnsi="宋体" w:cs="微软雅黑"/>
                <w:color w:val="auto"/>
                <w:sz w:val="24"/>
                <w:szCs w:val="24"/>
                <w:highlight w:val="none"/>
              </w:rPr>
              <w:t>信誉要求</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微软雅黑"/>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不存</w:t>
            </w:r>
            <w:r>
              <w:rPr>
                <w:rFonts w:hint="eastAsia" w:ascii="宋体" w:hAnsi="宋体" w:cs="微软雅黑"/>
                <w:color w:val="auto"/>
                <w:spacing w:val="-2"/>
                <w:sz w:val="24"/>
                <w:szCs w:val="24"/>
                <w:highlight w:val="none"/>
              </w:rPr>
              <w:t>在</w:t>
            </w:r>
            <w:r>
              <w:rPr>
                <w:rFonts w:hint="eastAsia" w:ascii="宋体" w:hAnsi="宋体" w:cs="微软雅黑"/>
                <w:color w:val="auto"/>
                <w:sz w:val="24"/>
                <w:szCs w:val="24"/>
                <w:highlight w:val="none"/>
              </w:rPr>
              <w:t>禁</w:t>
            </w:r>
            <w:r>
              <w:rPr>
                <w:rFonts w:hint="eastAsia" w:ascii="宋体" w:hAnsi="宋体" w:cs="微软雅黑"/>
                <w:color w:val="auto"/>
                <w:spacing w:val="-2"/>
                <w:sz w:val="24"/>
                <w:szCs w:val="24"/>
                <w:highlight w:val="none"/>
              </w:rPr>
              <w:t>止</w:t>
            </w:r>
            <w:r>
              <w:rPr>
                <w:rFonts w:hint="eastAsia" w:ascii="宋体" w:hAnsi="宋体" w:cs="微软雅黑"/>
                <w:color w:val="auto"/>
                <w:sz w:val="24"/>
                <w:szCs w:val="24"/>
                <w:highlight w:val="none"/>
              </w:rPr>
              <w:t>投</w:t>
            </w:r>
            <w:r>
              <w:rPr>
                <w:rFonts w:hint="eastAsia" w:ascii="宋体" w:hAnsi="宋体" w:cs="微软雅黑"/>
                <w:color w:val="auto"/>
                <w:spacing w:val="-2"/>
                <w:sz w:val="24"/>
                <w:szCs w:val="24"/>
                <w:highlight w:val="none"/>
              </w:rPr>
              <w:t>标</w:t>
            </w:r>
            <w:r>
              <w:rPr>
                <w:rFonts w:hint="eastAsia" w:ascii="宋体" w:hAnsi="宋体" w:cs="微软雅黑"/>
                <w:color w:val="auto"/>
                <w:sz w:val="24"/>
                <w:szCs w:val="24"/>
                <w:highlight w:val="none"/>
              </w:rPr>
              <w:t>的</w:t>
            </w:r>
            <w:r>
              <w:rPr>
                <w:rFonts w:hint="eastAsia" w:ascii="宋体" w:hAnsi="宋体" w:cs="微软雅黑"/>
                <w:color w:val="auto"/>
                <w:spacing w:val="-2"/>
                <w:sz w:val="24"/>
                <w:szCs w:val="24"/>
                <w:highlight w:val="none"/>
              </w:rPr>
              <w:t>情</w:t>
            </w:r>
            <w:r>
              <w:rPr>
                <w:rFonts w:hint="eastAsia" w:ascii="宋体" w:hAnsi="宋体" w:cs="微软雅黑"/>
                <w:color w:val="auto"/>
                <w:sz w:val="24"/>
                <w:szCs w:val="24"/>
                <w:highlight w:val="none"/>
              </w:rPr>
              <w:t>形</w:t>
            </w:r>
          </w:p>
        </w:tc>
        <w:tc>
          <w:tcPr>
            <w:tcW w:w="4919" w:type="dxa"/>
            <w:tcBorders>
              <w:tl2br w:val="nil"/>
              <w:tr2bl w:val="nil"/>
            </w:tcBorders>
            <w:vAlign w:val="center"/>
          </w:tcPr>
          <w:p>
            <w:pPr>
              <w:widowControl w:val="0"/>
              <w:autoSpaceDE w:val="0"/>
              <w:autoSpaceDN w:val="0"/>
              <w:spacing w:line="400" w:lineRule="exact"/>
              <w:ind w:left="20" w:leftChars="10" w:right="26"/>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不存</w:t>
            </w:r>
            <w:r>
              <w:rPr>
                <w:rFonts w:hint="eastAsia" w:ascii="宋体" w:hAnsi="宋体" w:cs="微软雅黑"/>
                <w:color w:val="auto"/>
                <w:spacing w:val="-2"/>
                <w:sz w:val="24"/>
                <w:szCs w:val="24"/>
                <w:highlight w:val="none"/>
              </w:rPr>
              <w:t>在</w:t>
            </w:r>
            <w:r>
              <w:rPr>
                <w:rFonts w:hint="eastAsia" w:ascii="宋体" w:hAnsi="宋体" w:cs="微软雅黑"/>
                <w:color w:val="auto"/>
                <w:sz w:val="24"/>
                <w:szCs w:val="24"/>
                <w:highlight w:val="none"/>
              </w:rPr>
              <w:t>第</w:t>
            </w:r>
            <w:r>
              <w:rPr>
                <w:rFonts w:hint="eastAsia" w:ascii="宋体" w:hAnsi="宋体" w:cs="微软雅黑"/>
                <w:color w:val="auto"/>
                <w:spacing w:val="-2"/>
                <w:sz w:val="24"/>
                <w:szCs w:val="24"/>
                <w:highlight w:val="none"/>
              </w:rPr>
              <w:t>二</w:t>
            </w:r>
            <w:r>
              <w:rPr>
                <w:rFonts w:hint="eastAsia" w:ascii="宋体" w:hAnsi="宋体" w:cs="微软雅黑"/>
                <w:color w:val="auto"/>
                <w:sz w:val="24"/>
                <w:szCs w:val="24"/>
                <w:highlight w:val="none"/>
              </w:rPr>
              <w:t>章</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投</w:t>
            </w:r>
            <w:r>
              <w:rPr>
                <w:rFonts w:hint="eastAsia" w:ascii="宋体" w:hAnsi="宋体" w:cs="微软雅黑"/>
                <w:color w:val="auto"/>
                <w:spacing w:val="-2"/>
                <w:sz w:val="24"/>
                <w:szCs w:val="24"/>
                <w:highlight w:val="none"/>
              </w:rPr>
              <w:t>标</w:t>
            </w:r>
            <w:r>
              <w:rPr>
                <w:rFonts w:hint="eastAsia" w:ascii="宋体" w:hAnsi="宋体" w:cs="微软雅黑"/>
                <w:color w:val="auto"/>
                <w:sz w:val="24"/>
                <w:szCs w:val="24"/>
                <w:highlight w:val="none"/>
              </w:rPr>
              <w:t>人</w:t>
            </w:r>
            <w:r>
              <w:rPr>
                <w:rFonts w:hint="eastAsia" w:ascii="宋体" w:hAnsi="宋体" w:cs="微软雅黑"/>
                <w:color w:val="auto"/>
                <w:spacing w:val="-2"/>
                <w:sz w:val="24"/>
                <w:szCs w:val="24"/>
                <w:highlight w:val="none"/>
              </w:rPr>
              <w:t>须</w:t>
            </w:r>
            <w:r>
              <w:rPr>
                <w:rFonts w:hint="eastAsia" w:ascii="宋体" w:hAnsi="宋体" w:cs="微软雅黑"/>
                <w:color w:val="auto"/>
                <w:spacing w:val="-3"/>
                <w:sz w:val="24"/>
                <w:szCs w:val="24"/>
                <w:highlight w:val="none"/>
              </w:rPr>
              <w:t>知</w:t>
            </w:r>
            <w:r>
              <w:rPr>
                <w:rFonts w:ascii="宋体" w:hAnsi="宋体" w:cs="Times New Roman"/>
                <w:color w:val="auto"/>
                <w:sz w:val="24"/>
                <w:szCs w:val="24"/>
                <w:highlight w:val="none"/>
              </w:rPr>
              <w:t>”</w:t>
            </w:r>
            <w:r>
              <w:rPr>
                <w:rFonts w:hint="eastAsia" w:ascii="宋体" w:hAnsi="宋体" w:cs="微软雅黑"/>
                <w:color w:val="auto"/>
                <w:sz w:val="24"/>
                <w:szCs w:val="24"/>
                <w:highlight w:val="none"/>
              </w:rPr>
              <w:t>第</w:t>
            </w:r>
            <w:r>
              <w:rPr>
                <w:rFonts w:ascii="宋体" w:hAnsi="宋体" w:cs="Times New Roman"/>
                <w:color w:val="auto"/>
                <w:sz w:val="24"/>
                <w:szCs w:val="24"/>
                <w:highlight w:val="none"/>
              </w:rPr>
              <w:t>1.4.3</w:t>
            </w:r>
            <w:r>
              <w:rPr>
                <w:rFonts w:hint="eastAsia" w:ascii="宋体" w:hAnsi="宋体" w:cs="微软雅黑"/>
                <w:color w:val="auto"/>
                <w:sz w:val="24"/>
                <w:szCs w:val="24"/>
                <w:highlight w:val="none"/>
              </w:rPr>
              <w:t>项</w:t>
            </w:r>
            <w:r>
              <w:rPr>
                <w:rFonts w:hint="eastAsia" w:ascii="宋体" w:hAnsi="宋体" w:cs="微软雅黑"/>
                <w:color w:val="auto"/>
                <w:spacing w:val="-2"/>
                <w:sz w:val="24"/>
                <w:szCs w:val="24"/>
                <w:highlight w:val="none"/>
              </w:rPr>
              <w:t>规</w:t>
            </w:r>
            <w:r>
              <w:rPr>
                <w:rFonts w:hint="eastAsia" w:ascii="宋体" w:hAnsi="宋体" w:cs="微软雅黑"/>
                <w:color w:val="auto"/>
                <w:sz w:val="24"/>
                <w:szCs w:val="24"/>
                <w:highlight w:val="none"/>
              </w:rPr>
              <w:t>定</w:t>
            </w:r>
            <w:r>
              <w:rPr>
                <w:rFonts w:hint="eastAsia" w:ascii="宋体" w:hAnsi="宋体" w:cs="微软雅黑"/>
                <w:color w:val="auto"/>
                <w:spacing w:val="-2"/>
                <w:sz w:val="24"/>
                <w:szCs w:val="24"/>
                <w:highlight w:val="none"/>
              </w:rPr>
              <w:t>的</w:t>
            </w:r>
            <w:r>
              <w:rPr>
                <w:rFonts w:hint="eastAsia" w:ascii="宋体" w:hAnsi="宋体" w:cs="微软雅黑"/>
                <w:color w:val="auto"/>
                <w:sz w:val="24"/>
                <w:szCs w:val="24"/>
                <w:highlight w:val="none"/>
              </w:rPr>
              <w:t>任何一种</w:t>
            </w:r>
            <w:r>
              <w:rPr>
                <w:rFonts w:hint="eastAsia" w:ascii="宋体" w:hAnsi="宋体" w:cs="微软雅黑"/>
                <w:color w:val="auto"/>
                <w:spacing w:val="-2"/>
                <w:sz w:val="24"/>
                <w:szCs w:val="24"/>
                <w:highlight w:val="none"/>
              </w:rPr>
              <w:t>情</w:t>
            </w:r>
            <w:r>
              <w:rPr>
                <w:rFonts w:hint="eastAsia" w:ascii="宋体" w:hAnsi="宋体" w:cs="微软雅黑"/>
                <w:color w:val="auto"/>
                <w:sz w:val="24"/>
                <w:szCs w:val="24"/>
                <w:highlight w:val="none"/>
              </w:rPr>
              <w:t>形</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restart"/>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ascii="宋体" w:hAnsi="宋体" w:cs="Times New Roman"/>
                <w:color w:val="auto"/>
                <w:sz w:val="24"/>
                <w:szCs w:val="24"/>
                <w:highlight w:val="none"/>
              </w:rPr>
              <w:t>2.1.3</w:t>
            </w:r>
          </w:p>
        </w:tc>
        <w:tc>
          <w:tcPr>
            <w:tcW w:w="1181" w:type="dxa"/>
            <w:vMerge w:val="restart"/>
            <w:tcBorders>
              <w:tl2br w:val="nil"/>
              <w:tr2bl w:val="nil"/>
            </w:tcBorders>
            <w:vAlign w:val="center"/>
          </w:tcPr>
          <w:p>
            <w:pPr>
              <w:widowControl w:val="0"/>
              <w:autoSpaceDE w:val="0"/>
              <w:autoSpaceDN w:val="0"/>
              <w:spacing w:line="400" w:lineRule="exact"/>
              <w:ind w:left="123" w:leftChars="10" w:right="60" w:hanging="103"/>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响应</w:t>
            </w:r>
            <w:r>
              <w:rPr>
                <w:rFonts w:hint="eastAsia" w:ascii="宋体" w:hAnsi="宋体" w:cs="微软雅黑"/>
                <w:color w:val="auto"/>
                <w:spacing w:val="-2"/>
                <w:sz w:val="24"/>
                <w:szCs w:val="24"/>
                <w:highlight w:val="none"/>
              </w:rPr>
              <w:t>性</w:t>
            </w:r>
            <w:r>
              <w:rPr>
                <w:rFonts w:hint="eastAsia" w:ascii="宋体" w:hAnsi="宋体" w:cs="微软雅黑"/>
                <w:color w:val="auto"/>
                <w:sz w:val="24"/>
                <w:szCs w:val="24"/>
                <w:highlight w:val="none"/>
              </w:rPr>
              <w:t>评审标准</w:t>
            </w:r>
          </w:p>
        </w:tc>
        <w:tc>
          <w:tcPr>
            <w:tcW w:w="2603" w:type="dxa"/>
            <w:tcBorders>
              <w:tl2br w:val="nil"/>
              <w:tr2bl w:val="nil"/>
            </w:tcBorders>
            <w:shd w:val="clear" w:color="auto" w:fill="auto"/>
            <w:vAlign w:val="center"/>
          </w:tcPr>
          <w:p>
            <w:pPr>
              <w:widowControl w:val="0"/>
              <w:spacing w:line="400" w:lineRule="exact"/>
              <w:ind w:left="20" w:leftChars="10"/>
              <w:jc w:val="center"/>
              <w:rPr>
                <w:rFonts w:ascii="宋体" w:hAnsi="宋体" w:cs="微软雅黑"/>
                <w:color w:val="auto"/>
                <w:sz w:val="24"/>
                <w:szCs w:val="24"/>
                <w:highlight w:val="none"/>
              </w:rPr>
            </w:pPr>
            <w:r>
              <w:rPr>
                <w:rFonts w:hint="eastAsia" w:ascii="宋体" w:hAnsi="宋体" w:cs="宋体"/>
                <w:color w:val="auto"/>
                <w:kern w:val="2"/>
                <w:sz w:val="24"/>
                <w:szCs w:val="24"/>
                <w:highlight w:val="none"/>
              </w:rPr>
              <w:t>投标报价</w:t>
            </w:r>
          </w:p>
        </w:tc>
        <w:tc>
          <w:tcPr>
            <w:tcW w:w="4919" w:type="dxa"/>
            <w:tcBorders>
              <w:tl2br w:val="nil"/>
              <w:tr2bl w:val="nil"/>
            </w:tcBorders>
            <w:shd w:val="clear" w:color="auto" w:fill="auto"/>
            <w:vAlign w:val="center"/>
          </w:tcPr>
          <w:p>
            <w:pPr>
              <w:widowControl w:val="0"/>
              <w:spacing w:line="400" w:lineRule="exact"/>
              <w:ind w:left="20" w:leftChars="10"/>
              <w:jc w:val="both"/>
              <w:rPr>
                <w:rFonts w:ascii="宋体" w:hAnsi="宋体" w:cs="微软雅黑"/>
                <w:color w:val="auto"/>
                <w:sz w:val="24"/>
                <w:szCs w:val="24"/>
                <w:highlight w:val="none"/>
              </w:rPr>
            </w:pPr>
            <w:r>
              <w:rPr>
                <w:rFonts w:hint="eastAsia" w:ascii="宋体" w:hAnsi="宋体" w:cs="宋体"/>
                <w:color w:val="auto"/>
                <w:kern w:val="2"/>
                <w:sz w:val="24"/>
                <w:szCs w:val="24"/>
                <w:highlight w:val="none"/>
              </w:rPr>
              <w:t>符合第二章“投标人须知”第</w:t>
            </w:r>
            <w:r>
              <w:rPr>
                <w:rFonts w:ascii="宋体" w:hAnsi="宋体" w:cs="宋体"/>
                <w:color w:val="auto"/>
                <w:kern w:val="2"/>
                <w:sz w:val="24"/>
                <w:szCs w:val="24"/>
                <w:highlight w:val="none"/>
              </w:rPr>
              <w:t xml:space="preserve"> 3.2 </w:t>
            </w:r>
            <w:r>
              <w:rPr>
                <w:rFonts w:hint="eastAsia" w:ascii="宋体" w:hAnsi="宋体" w:cs="宋体"/>
                <w:color w:val="auto"/>
                <w:kern w:val="2"/>
                <w:sz w:val="24"/>
                <w:szCs w:val="24"/>
                <w:highlight w:val="none"/>
              </w:rPr>
              <w:t>款规定。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123" w:leftChars="10" w:right="60" w:hanging="103"/>
              <w:jc w:val="both"/>
              <w:rPr>
                <w:rFonts w:ascii="宋体" w:hAnsi="宋体" w:cs="微软雅黑"/>
                <w:color w:val="auto"/>
                <w:sz w:val="24"/>
                <w:szCs w:val="24"/>
                <w:highlight w:val="none"/>
              </w:rPr>
            </w:pPr>
          </w:p>
        </w:tc>
        <w:tc>
          <w:tcPr>
            <w:tcW w:w="2603" w:type="dxa"/>
            <w:tcBorders>
              <w:tl2br w:val="nil"/>
              <w:tr2bl w:val="nil"/>
            </w:tcBorders>
            <w:shd w:val="clear" w:color="auto" w:fill="auto"/>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内</w:t>
            </w:r>
            <w:r>
              <w:rPr>
                <w:rFonts w:hint="eastAsia" w:ascii="宋体" w:hAnsi="宋体" w:cs="微软雅黑"/>
                <w:color w:val="auto"/>
                <w:sz w:val="24"/>
                <w:szCs w:val="24"/>
                <w:highlight w:val="none"/>
              </w:rPr>
              <w:t>容</w:t>
            </w:r>
          </w:p>
        </w:tc>
        <w:tc>
          <w:tcPr>
            <w:tcW w:w="4919" w:type="dxa"/>
            <w:tcBorders>
              <w:tl2br w:val="nil"/>
              <w:tr2bl w:val="nil"/>
            </w:tcBorders>
            <w:shd w:val="clear" w:color="auto" w:fill="auto"/>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jc w:val="center"/>
              <w:rPr>
                <w:rFonts w:ascii="宋体" w:hAnsi="宋体" w:cs="Times New Roman"/>
                <w:color w:val="auto"/>
                <w:sz w:val="24"/>
                <w:szCs w:val="24"/>
                <w:highlight w:val="none"/>
              </w:rPr>
            </w:pPr>
            <w:r>
              <w:rPr>
                <w:rFonts w:hint="eastAsia" w:ascii="宋体" w:hAnsi="宋体" w:cs="宋体"/>
                <w:color w:val="auto"/>
                <w:sz w:val="24"/>
                <w:szCs w:val="24"/>
                <w:highlight w:val="none"/>
              </w:rPr>
              <w:t>服务及交货期</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2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交货</w:t>
            </w:r>
            <w:r>
              <w:rPr>
                <w:rFonts w:hint="eastAsia" w:ascii="宋体" w:hAnsi="宋体" w:cs="微软雅黑"/>
                <w:color w:val="auto"/>
                <w:spacing w:val="-2"/>
                <w:sz w:val="24"/>
                <w:szCs w:val="24"/>
                <w:highlight w:val="none"/>
              </w:rPr>
              <w:t>地</w:t>
            </w:r>
            <w:r>
              <w:rPr>
                <w:rFonts w:hint="eastAsia" w:ascii="宋体" w:hAnsi="宋体" w:cs="微软雅黑"/>
                <w:color w:val="auto"/>
                <w:sz w:val="24"/>
                <w:szCs w:val="24"/>
                <w:highlight w:val="none"/>
              </w:rPr>
              <w:t>点</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3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质量</w:t>
            </w:r>
            <w:r>
              <w:rPr>
                <w:rFonts w:hint="eastAsia" w:ascii="宋体" w:hAnsi="宋体" w:cs="微软雅黑"/>
                <w:color w:val="auto"/>
                <w:spacing w:val="-2"/>
                <w:sz w:val="24"/>
                <w:szCs w:val="24"/>
                <w:highlight w:val="none"/>
              </w:rPr>
              <w:t>要求</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1.3</w:t>
            </w:r>
            <w:r>
              <w:rPr>
                <w:rFonts w:ascii="宋体" w:hAnsi="宋体" w:cs="Times New Roman"/>
                <w:color w:val="auto"/>
                <w:spacing w:val="-2"/>
                <w:sz w:val="24"/>
                <w:szCs w:val="24"/>
                <w:highlight w:val="none"/>
              </w:rPr>
              <w:t>.</w:t>
            </w:r>
            <w:r>
              <w:rPr>
                <w:rFonts w:hint="eastAsia" w:ascii="宋体" w:hAnsi="宋体" w:cs="Times New Roman"/>
                <w:color w:val="auto"/>
                <w:sz w:val="24"/>
                <w:szCs w:val="24"/>
                <w:highlight w:val="none"/>
              </w:rPr>
              <w:t>5</w:t>
            </w:r>
            <w:r>
              <w:rPr>
                <w:rFonts w:ascii="宋体" w:hAnsi="宋体" w:cs="Times New Roman"/>
                <w:color w:val="auto"/>
                <w:sz w:val="24"/>
                <w:szCs w:val="24"/>
                <w:highlight w:val="none"/>
              </w:rPr>
              <w:t xml:space="preserve">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有</w:t>
            </w:r>
            <w:r>
              <w:rPr>
                <w:rFonts w:hint="eastAsia" w:ascii="宋体" w:hAnsi="宋体" w:cs="微软雅黑"/>
                <w:color w:val="auto"/>
                <w:sz w:val="24"/>
                <w:szCs w:val="24"/>
                <w:highlight w:val="none"/>
              </w:rPr>
              <w:t>效期</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3.3</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投标</w:t>
            </w:r>
            <w:r>
              <w:rPr>
                <w:rFonts w:hint="eastAsia" w:ascii="宋体" w:hAnsi="宋体" w:cs="微软雅黑"/>
                <w:color w:val="auto"/>
                <w:spacing w:val="-2"/>
                <w:sz w:val="24"/>
                <w:szCs w:val="24"/>
                <w:highlight w:val="none"/>
              </w:rPr>
              <w:t>保</w:t>
            </w:r>
            <w:r>
              <w:rPr>
                <w:rFonts w:hint="eastAsia" w:ascii="宋体" w:hAnsi="宋体" w:cs="微软雅黑"/>
                <w:color w:val="auto"/>
                <w:sz w:val="24"/>
                <w:szCs w:val="24"/>
                <w:highlight w:val="none"/>
              </w:rPr>
              <w:t>证金</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二</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投</w:t>
            </w:r>
            <w:r>
              <w:rPr>
                <w:rFonts w:hint="eastAsia" w:ascii="宋体" w:hAnsi="宋体" w:cs="微软雅黑"/>
                <w:color w:val="auto"/>
                <w:sz w:val="24"/>
                <w:szCs w:val="24"/>
                <w:highlight w:val="none"/>
              </w:rPr>
              <w:t>标</w:t>
            </w:r>
            <w:r>
              <w:rPr>
                <w:rFonts w:hint="eastAsia" w:ascii="宋体" w:hAnsi="宋体" w:cs="微软雅黑"/>
                <w:color w:val="auto"/>
                <w:spacing w:val="-2"/>
                <w:sz w:val="24"/>
                <w:szCs w:val="24"/>
                <w:highlight w:val="none"/>
              </w:rPr>
              <w:t>人</w:t>
            </w:r>
            <w:r>
              <w:rPr>
                <w:rFonts w:hint="eastAsia" w:ascii="宋体" w:hAnsi="宋体" w:cs="微软雅黑"/>
                <w:color w:val="auto"/>
                <w:sz w:val="24"/>
                <w:szCs w:val="24"/>
                <w:highlight w:val="none"/>
              </w:rPr>
              <w:t>须知</w:t>
            </w:r>
            <w:r>
              <w:rPr>
                <w:rFonts w:ascii="宋体" w:hAnsi="宋体" w:cs="Times New Roman"/>
                <w:color w:val="auto"/>
                <w:spacing w:val="-3"/>
                <w:sz w:val="24"/>
                <w:szCs w:val="24"/>
                <w:highlight w:val="none"/>
              </w:rPr>
              <w:t>”</w:t>
            </w:r>
            <w:r>
              <w:rPr>
                <w:rFonts w:hint="eastAsia" w:ascii="宋体" w:hAnsi="宋体" w:cs="微软雅黑"/>
                <w:color w:val="auto"/>
                <w:sz w:val="24"/>
                <w:szCs w:val="24"/>
                <w:highlight w:val="none"/>
              </w:rPr>
              <w:t>第</w:t>
            </w:r>
            <w:r>
              <w:rPr>
                <w:rFonts w:ascii="宋体" w:hAnsi="宋体" w:cs="微软雅黑"/>
                <w:color w:val="auto"/>
                <w:spacing w:val="-9"/>
                <w:sz w:val="24"/>
                <w:szCs w:val="24"/>
                <w:highlight w:val="none"/>
              </w:rPr>
              <w:t xml:space="preserve"> </w:t>
            </w:r>
            <w:r>
              <w:rPr>
                <w:rFonts w:ascii="宋体" w:hAnsi="宋体" w:cs="Times New Roman"/>
                <w:color w:val="auto"/>
                <w:sz w:val="24"/>
                <w:szCs w:val="24"/>
                <w:highlight w:val="none"/>
              </w:rPr>
              <w:t>3.4</w:t>
            </w:r>
            <w:r>
              <w:rPr>
                <w:rFonts w:ascii="宋体" w:hAnsi="宋体" w:cs="Times New Roman"/>
                <w:color w:val="auto"/>
                <w:spacing w:val="-2"/>
                <w:sz w:val="24"/>
                <w:szCs w:val="24"/>
                <w:highlight w:val="none"/>
              </w:rPr>
              <w:t>.</w:t>
            </w:r>
            <w:r>
              <w:rPr>
                <w:rFonts w:ascii="宋体" w:hAnsi="宋体" w:cs="Times New Roman"/>
                <w:color w:val="auto"/>
                <w:sz w:val="24"/>
                <w:szCs w:val="24"/>
                <w:highlight w:val="none"/>
              </w:rPr>
              <w:t xml:space="preserve">1 </w:t>
            </w:r>
            <w:r>
              <w:rPr>
                <w:rFonts w:hint="eastAsia" w:ascii="宋体" w:hAnsi="宋体" w:cs="微软雅黑"/>
                <w:color w:val="auto"/>
                <w:spacing w:val="-2"/>
                <w:sz w:val="24"/>
                <w:szCs w:val="24"/>
                <w:highlight w:val="none"/>
              </w:rPr>
              <w:t>项</w:t>
            </w:r>
            <w:r>
              <w:rPr>
                <w:rFonts w:hint="eastAsia" w:ascii="宋体" w:hAnsi="宋体" w:cs="微软雅黑"/>
                <w:color w:val="auto"/>
                <w:sz w:val="24"/>
                <w:szCs w:val="24"/>
                <w:highlight w:val="none"/>
              </w:rPr>
              <w:t>规定</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rightChars="0"/>
              <w:jc w:val="center"/>
              <w:rPr>
                <w:rFonts w:hint="eastAsia" w:ascii="宋体" w:hAnsi="宋体" w:cs="微软雅黑"/>
                <w:color w:val="auto"/>
                <w:sz w:val="24"/>
                <w:szCs w:val="24"/>
                <w:highlight w:val="none"/>
              </w:rPr>
            </w:pPr>
            <w:r>
              <w:rPr>
                <w:rFonts w:hint="eastAsia" w:ascii="宋体" w:hAnsi="宋体" w:cs="微软雅黑"/>
                <w:color w:val="auto"/>
                <w:sz w:val="24"/>
                <w:szCs w:val="24"/>
                <w:highlight w:val="none"/>
              </w:rPr>
              <w:t>权利义务</w:t>
            </w:r>
          </w:p>
        </w:tc>
        <w:tc>
          <w:tcPr>
            <w:tcW w:w="4919" w:type="dxa"/>
            <w:tcBorders>
              <w:tl2br w:val="nil"/>
              <w:tr2bl w:val="nil"/>
            </w:tcBorders>
            <w:vAlign w:val="center"/>
          </w:tcPr>
          <w:p>
            <w:pPr>
              <w:widowControl w:val="0"/>
              <w:autoSpaceDE w:val="0"/>
              <w:autoSpaceDN w:val="0"/>
              <w:spacing w:line="400" w:lineRule="exact"/>
              <w:ind w:left="20" w:leftChars="10" w:right="-20" w:rightChars="0"/>
              <w:jc w:val="both"/>
              <w:rPr>
                <w:rFonts w:hint="eastAsia" w:ascii="宋体" w:hAnsi="宋体" w:cs="微软雅黑"/>
                <w:color w:val="auto"/>
                <w:sz w:val="24"/>
                <w:szCs w:val="24"/>
                <w:highlight w:val="none"/>
              </w:rPr>
            </w:pPr>
            <w:r>
              <w:rPr>
                <w:rFonts w:hint="eastAsia" w:ascii="宋体" w:hAnsi="宋体" w:cs="微软雅黑"/>
                <w:color w:val="auto"/>
                <w:sz w:val="24"/>
                <w:szCs w:val="24"/>
                <w:highlight w:val="none"/>
              </w:rPr>
              <w:t>符合第二章“投标人须知”第1.11.1项规定和第四章“合同条款及格式”中的实质性要求和条件</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46"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1181" w:type="dxa"/>
            <w:vMerge w:val="continue"/>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p>
        </w:tc>
        <w:tc>
          <w:tcPr>
            <w:tcW w:w="2603" w:type="dxa"/>
            <w:tcBorders>
              <w:tl2br w:val="nil"/>
              <w:tr2bl w:val="nil"/>
            </w:tcBorders>
            <w:vAlign w:val="center"/>
          </w:tcPr>
          <w:p>
            <w:pPr>
              <w:widowControl w:val="0"/>
              <w:autoSpaceDE w:val="0"/>
              <w:autoSpaceDN w:val="0"/>
              <w:spacing w:line="400" w:lineRule="exact"/>
              <w:ind w:left="20" w:leftChars="10" w:right="-20"/>
              <w:jc w:val="center"/>
              <w:rPr>
                <w:rFonts w:ascii="宋体" w:hAnsi="宋体" w:cs="Times New Roman"/>
                <w:color w:val="auto"/>
                <w:sz w:val="24"/>
                <w:szCs w:val="24"/>
                <w:highlight w:val="none"/>
              </w:rPr>
            </w:pPr>
            <w:r>
              <w:rPr>
                <w:rFonts w:hint="eastAsia" w:ascii="宋体" w:hAnsi="宋体" w:cs="微软雅黑"/>
                <w:color w:val="auto"/>
                <w:sz w:val="24"/>
                <w:szCs w:val="24"/>
                <w:highlight w:val="none"/>
              </w:rPr>
              <w:t>货物</w:t>
            </w:r>
            <w:r>
              <w:rPr>
                <w:rFonts w:hint="eastAsia" w:ascii="宋体" w:hAnsi="宋体" w:cs="微软雅黑"/>
                <w:color w:val="auto"/>
                <w:spacing w:val="-2"/>
                <w:sz w:val="24"/>
                <w:szCs w:val="24"/>
                <w:highlight w:val="none"/>
              </w:rPr>
              <w:t>及</w:t>
            </w:r>
            <w:r>
              <w:rPr>
                <w:rFonts w:hint="eastAsia" w:ascii="宋体" w:hAnsi="宋体" w:cs="微软雅黑"/>
                <w:color w:val="auto"/>
                <w:sz w:val="24"/>
                <w:szCs w:val="24"/>
                <w:highlight w:val="none"/>
              </w:rPr>
              <w:t>技术服务和质保期服务</w:t>
            </w:r>
          </w:p>
        </w:tc>
        <w:tc>
          <w:tcPr>
            <w:tcW w:w="4919" w:type="dxa"/>
            <w:tcBorders>
              <w:tl2br w:val="nil"/>
              <w:tr2bl w:val="nil"/>
            </w:tcBorders>
            <w:vAlign w:val="center"/>
          </w:tcPr>
          <w:p>
            <w:pPr>
              <w:widowControl w:val="0"/>
              <w:autoSpaceDE w:val="0"/>
              <w:autoSpaceDN w:val="0"/>
              <w:spacing w:line="400" w:lineRule="exact"/>
              <w:ind w:left="20" w:leftChars="10" w:right="-20"/>
              <w:jc w:val="both"/>
              <w:rPr>
                <w:rFonts w:ascii="宋体" w:hAnsi="宋体" w:cs="Times New Roman"/>
                <w:color w:val="auto"/>
                <w:sz w:val="24"/>
                <w:szCs w:val="24"/>
                <w:highlight w:val="none"/>
              </w:rPr>
            </w:pPr>
            <w:r>
              <w:rPr>
                <w:rFonts w:hint="eastAsia" w:ascii="宋体" w:hAnsi="宋体" w:cs="微软雅黑"/>
                <w:color w:val="auto"/>
                <w:sz w:val="24"/>
                <w:szCs w:val="24"/>
                <w:highlight w:val="none"/>
              </w:rPr>
              <w:t>符合</w:t>
            </w:r>
            <w:r>
              <w:rPr>
                <w:rFonts w:hint="eastAsia" w:ascii="宋体" w:hAnsi="宋体" w:cs="微软雅黑"/>
                <w:color w:val="auto"/>
                <w:spacing w:val="-2"/>
                <w:sz w:val="24"/>
                <w:szCs w:val="24"/>
                <w:highlight w:val="none"/>
              </w:rPr>
              <w:t>第</w:t>
            </w:r>
            <w:r>
              <w:rPr>
                <w:rFonts w:hint="eastAsia" w:ascii="宋体" w:hAnsi="宋体" w:cs="微软雅黑"/>
                <w:color w:val="auto"/>
                <w:sz w:val="24"/>
                <w:szCs w:val="24"/>
                <w:highlight w:val="none"/>
              </w:rPr>
              <w:t>五</w:t>
            </w:r>
            <w:r>
              <w:rPr>
                <w:rFonts w:hint="eastAsia" w:ascii="宋体" w:hAnsi="宋体" w:cs="微软雅黑"/>
                <w:color w:val="auto"/>
                <w:spacing w:val="-2"/>
                <w:sz w:val="24"/>
                <w:szCs w:val="24"/>
                <w:highlight w:val="none"/>
              </w:rPr>
              <w:t>章</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供</w:t>
            </w:r>
            <w:r>
              <w:rPr>
                <w:rFonts w:hint="eastAsia" w:ascii="宋体" w:hAnsi="宋体" w:cs="微软雅黑"/>
                <w:color w:val="auto"/>
                <w:sz w:val="24"/>
                <w:szCs w:val="24"/>
                <w:highlight w:val="none"/>
              </w:rPr>
              <w:t>货</w:t>
            </w:r>
            <w:r>
              <w:rPr>
                <w:rFonts w:hint="eastAsia" w:ascii="宋体" w:hAnsi="宋体" w:cs="微软雅黑"/>
                <w:color w:val="auto"/>
                <w:spacing w:val="-2"/>
                <w:sz w:val="24"/>
                <w:szCs w:val="24"/>
                <w:highlight w:val="none"/>
              </w:rPr>
              <w:t>要</w:t>
            </w:r>
            <w:r>
              <w:rPr>
                <w:rFonts w:hint="eastAsia" w:ascii="宋体" w:hAnsi="宋体" w:cs="微软雅黑"/>
                <w:color w:val="auto"/>
                <w:sz w:val="24"/>
                <w:szCs w:val="24"/>
                <w:highlight w:val="none"/>
              </w:rPr>
              <w:t>求</w:t>
            </w:r>
            <w:r>
              <w:rPr>
                <w:rFonts w:ascii="宋体" w:hAnsi="宋体" w:cs="Times New Roman"/>
                <w:color w:val="auto"/>
                <w:sz w:val="24"/>
                <w:szCs w:val="24"/>
                <w:highlight w:val="none"/>
              </w:rPr>
              <w:t>”</w:t>
            </w:r>
            <w:r>
              <w:rPr>
                <w:rFonts w:hint="eastAsia" w:ascii="宋体" w:hAnsi="宋体" w:cs="微软雅黑"/>
                <w:color w:val="auto"/>
                <w:spacing w:val="-2"/>
                <w:sz w:val="24"/>
                <w:szCs w:val="24"/>
                <w:highlight w:val="none"/>
              </w:rPr>
              <w:t>中</w:t>
            </w:r>
            <w:r>
              <w:rPr>
                <w:rFonts w:hint="eastAsia" w:ascii="宋体" w:hAnsi="宋体" w:cs="微软雅黑"/>
                <w:color w:val="auto"/>
                <w:sz w:val="24"/>
                <w:szCs w:val="24"/>
                <w:highlight w:val="none"/>
              </w:rPr>
              <w:t>的实质性要求和条件</w:t>
            </w:r>
          </w:p>
        </w:tc>
      </w:tr>
    </w:tbl>
    <w:p>
      <w:pPr>
        <w:widowControl w:val="0"/>
        <w:rPr>
          <w:rFonts w:ascii="宋体" w:hAnsi="宋体" w:cs="Times New Roman" w:eastAsiaTheme="minorEastAsia"/>
          <w:color w:val="auto"/>
          <w:sz w:val="9"/>
          <w:szCs w:val="9"/>
          <w:highlight w:val="none"/>
        </w:rPr>
      </w:pPr>
    </w:p>
    <w:p>
      <w:pPr>
        <w:pStyle w:val="10"/>
        <w:ind w:left="400"/>
        <w:rPr>
          <w:color w:val="auto"/>
          <w:highlight w:val="none"/>
        </w:rPr>
      </w:pPr>
    </w:p>
    <w:tbl>
      <w:tblPr>
        <w:tblStyle w:val="11"/>
        <w:tblW w:w="96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60"/>
        <w:gridCol w:w="1209"/>
        <w:gridCol w:w="1305"/>
        <w:gridCol w:w="62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tcPr>
          <w:p>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条款内容</w:t>
            </w:r>
          </w:p>
        </w:tc>
        <w:tc>
          <w:tcPr>
            <w:tcW w:w="7512" w:type="dxa"/>
            <w:gridSpan w:val="2"/>
          </w:tcPr>
          <w:p>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jc w:val="center"/>
        </w:trPr>
        <w:tc>
          <w:tcPr>
            <w:tcW w:w="960" w:type="dxa"/>
            <w:vAlign w:val="center"/>
          </w:tcPr>
          <w:p>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2.2.1</w:t>
            </w:r>
          </w:p>
        </w:tc>
        <w:tc>
          <w:tcPr>
            <w:tcW w:w="1209" w:type="dxa"/>
            <w:vAlign w:val="center"/>
          </w:tcPr>
          <w:p>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分值构成</w:t>
            </w:r>
          </w:p>
          <w:p>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(总分 100 分)</w:t>
            </w:r>
          </w:p>
        </w:tc>
        <w:tc>
          <w:tcPr>
            <w:tcW w:w="7512" w:type="dxa"/>
            <w:gridSpan w:val="2"/>
            <w:vAlign w:val="center"/>
          </w:tcPr>
          <w:p>
            <w:pPr>
              <w:widowControl w:val="0"/>
              <w:kinsoku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商务部分：</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20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pPr>
              <w:widowControl w:val="0"/>
              <w:kinsoku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实施方案：</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u w:val="single"/>
              </w:rPr>
              <w:t>50</w:t>
            </w:r>
            <w:r>
              <w:rPr>
                <w:rFonts w:ascii="宋体" w:hAnsi="宋体" w:cs="宋体"/>
                <w:color w:val="auto"/>
                <w:kern w:val="21"/>
                <w:sz w:val="24"/>
                <w:szCs w:val="24"/>
                <w:highlight w:val="none"/>
                <w:u w:val="single"/>
              </w:rPr>
              <w:t xml:space="preserve"> </w:t>
            </w:r>
            <w:r>
              <w:rPr>
                <w:rFonts w:hint="eastAsia" w:ascii="宋体" w:hAnsi="宋体" w:cs="宋体"/>
                <w:color w:val="auto"/>
                <w:kern w:val="21"/>
                <w:sz w:val="24"/>
                <w:szCs w:val="24"/>
                <w:highlight w:val="none"/>
              </w:rPr>
              <w:t>分</w:t>
            </w:r>
          </w:p>
          <w:p>
            <w:pPr>
              <w:widowControl w:val="0"/>
              <w:tabs>
                <w:tab w:val="left" w:pos="2314"/>
              </w:tabs>
              <w:kinsoku w:val="0"/>
              <w:overflowPunct w:val="0"/>
              <w:spacing w:line="320" w:lineRule="exact"/>
              <w:ind w:left="20" w:leftChars="10"/>
              <w:jc w:val="both"/>
              <w:rPr>
                <w:rFonts w:ascii="宋体" w:hAnsi="宋体" w:cs="宋体"/>
                <w:color w:val="auto"/>
                <w:sz w:val="24"/>
                <w:szCs w:val="24"/>
                <w:highlight w:val="none"/>
                <w:lang w:eastAsia="en-US"/>
              </w:rPr>
            </w:pPr>
            <w:r>
              <w:rPr>
                <w:rFonts w:hint="eastAsia" w:ascii="宋体" w:hAnsi="宋体" w:cs="宋体"/>
                <w:color w:val="auto"/>
                <w:kern w:val="21"/>
                <w:sz w:val="24"/>
                <w:szCs w:val="24"/>
                <w:highlight w:val="none"/>
              </w:rPr>
              <w:t>评</w:t>
            </w:r>
            <w:r>
              <w:rPr>
                <w:rFonts w:hint="eastAsia" w:ascii="宋体" w:hAnsi="宋体" w:cs="宋体"/>
                <w:color w:val="auto"/>
                <w:kern w:val="21"/>
                <w:sz w:val="24"/>
                <w:szCs w:val="24"/>
                <w:highlight w:val="none"/>
                <w:lang w:eastAsia="en-US"/>
              </w:rPr>
              <w:t>标价：</w:t>
            </w:r>
            <w:r>
              <w:rPr>
                <w:rFonts w:ascii="宋体" w:hAnsi="宋体" w:cs="宋体"/>
                <w:color w:val="auto"/>
                <w:kern w:val="21"/>
                <w:sz w:val="24"/>
                <w:szCs w:val="24"/>
                <w:highlight w:val="none"/>
                <w:u w:val="single"/>
                <w:lang w:eastAsia="en-US"/>
              </w:rPr>
              <w:t xml:space="preserve"> </w:t>
            </w:r>
            <w:r>
              <w:rPr>
                <w:rFonts w:ascii="宋体" w:hAnsi="宋体" w:cs="宋体"/>
                <w:color w:val="auto"/>
                <w:kern w:val="21"/>
                <w:sz w:val="24"/>
                <w:szCs w:val="24"/>
                <w:highlight w:val="none"/>
                <w:u w:val="single"/>
              </w:rPr>
              <w:t>30</w:t>
            </w:r>
            <w:r>
              <w:rPr>
                <w:rFonts w:ascii="宋体" w:hAnsi="宋体" w:cs="宋体"/>
                <w:color w:val="auto"/>
                <w:kern w:val="21"/>
                <w:sz w:val="24"/>
                <w:szCs w:val="24"/>
                <w:highlight w:val="none"/>
                <w:u w:val="single"/>
                <w:lang w:eastAsia="en-US"/>
              </w:rPr>
              <w:t xml:space="preserve"> </w:t>
            </w:r>
            <w:r>
              <w:rPr>
                <w:rFonts w:hint="eastAsia" w:ascii="宋体" w:hAnsi="宋体" w:cs="宋体"/>
                <w:color w:val="auto"/>
                <w:kern w:val="21"/>
                <w:sz w:val="24"/>
                <w:szCs w:val="24"/>
                <w:highlight w:val="none"/>
                <w:lang w:eastAsia="en-US"/>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60" w:type="dxa"/>
            <w:vAlign w:val="center"/>
          </w:tcPr>
          <w:p>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2.2.2</w:t>
            </w:r>
          </w:p>
        </w:tc>
        <w:tc>
          <w:tcPr>
            <w:tcW w:w="1209" w:type="dxa"/>
            <w:vAlign w:val="center"/>
          </w:tcPr>
          <w:p>
            <w:pPr>
              <w:widowControl w:val="0"/>
              <w:spacing w:line="320" w:lineRule="exact"/>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评标基准价计算方法</w:t>
            </w:r>
          </w:p>
        </w:tc>
        <w:tc>
          <w:tcPr>
            <w:tcW w:w="7512" w:type="dxa"/>
            <w:gridSpan w:val="2"/>
          </w:tcPr>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评标基准价的计算：</w:t>
            </w:r>
          </w:p>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（1）评标价的确定：</w:t>
            </w:r>
          </w:p>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评标价=投标函文字报价</w:t>
            </w:r>
          </w:p>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（2）评标价平均值的计算：</w:t>
            </w:r>
          </w:p>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通过初步评审的所有投标人的评标价去掉一个最高值和一个最低值后的算术平均值即为评标价平均值（如果参与评标价平均值计算的有效投标人少于5家时，则计算评标价平均值时不去掉最高值和最低值）。</w:t>
            </w:r>
          </w:p>
          <w:p>
            <w:pPr>
              <w:widowControl w:val="0"/>
              <w:spacing w:line="320" w:lineRule="exact"/>
              <w:ind w:left="20" w:leftChars="10" w:firstLine="480" w:firstLineChars="200"/>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（3）评标基准价的确定：</w:t>
            </w:r>
          </w:p>
          <w:p>
            <w:pPr>
              <w:widowControl w:val="0"/>
              <w:spacing w:line="320" w:lineRule="exact"/>
              <w:ind w:left="20" w:leftChars="10" w:firstLine="480" w:firstLineChars="200"/>
              <w:rPr>
                <w:color w:val="auto"/>
                <w:sz w:val="24"/>
                <w:szCs w:val="24"/>
                <w:highlight w:val="none"/>
              </w:rPr>
            </w:pPr>
            <w:r>
              <w:rPr>
                <w:rFonts w:hint="eastAsia" w:ascii="宋体" w:hAnsi="宋体" w:cs="宋体"/>
                <w:color w:val="auto"/>
                <w:sz w:val="24"/>
                <w:szCs w:val="24"/>
                <w:highlight w:val="none"/>
              </w:rPr>
              <w:t>将评标价平均值直接作为评标基准价（评标基准价保留两位小数，小数点后第三位四舍五入）。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jc w:val="center"/>
        </w:trPr>
        <w:tc>
          <w:tcPr>
            <w:tcW w:w="960" w:type="dxa"/>
          </w:tcPr>
          <w:p>
            <w:pPr>
              <w:widowControl w:val="0"/>
              <w:spacing w:line="320" w:lineRule="exact"/>
              <w:jc w:val="center"/>
              <w:rPr>
                <w:rFonts w:ascii="宋体" w:hAnsi="宋体" w:cs="宋体"/>
                <w:b/>
                <w:color w:val="auto"/>
                <w:sz w:val="24"/>
                <w:szCs w:val="24"/>
                <w:highlight w:val="none"/>
              </w:rPr>
            </w:pPr>
          </w:p>
          <w:p>
            <w:pPr>
              <w:widowControl w:val="0"/>
              <w:spacing w:line="320" w:lineRule="exact"/>
              <w:ind w:firstLine="240" w:firstLineChars="100"/>
              <w:jc w:val="both"/>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2.2.3</w:t>
            </w:r>
          </w:p>
        </w:tc>
        <w:tc>
          <w:tcPr>
            <w:tcW w:w="1209" w:type="dxa"/>
          </w:tcPr>
          <w:p>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投标报价的偏差率计算公式</w:t>
            </w:r>
          </w:p>
        </w:tc>
        <w:tc>
          <w:tcPr>
            <w:tcW w:w="7512" w:type="dxa"/>
            <w:gridSpan w:val="2"/>
            <w:vAlign w:val="center"/>
          </w:tcPr>
          <w:p>
            <w:pPr>
              <w:widowControl w:val="0"/>
              <w:spacing w:line="320" w:lineRule="exact"/>
              <w:jc w:val="both"/>
              <w:rPr>
                <w:rFonts w:ascii="宋体" w:hAnsi="宋体" w:cs="宋体"/>
                <w:color w:val="auto"/>
                <w:sz w:val="24"/>
                <w:szCs w:val="24"/>
                <w:highlight w:val="none"/>
              </w:rPr>
            </w:pPr>
            <w:r>
              <w:rPr>
                <w:rFonts w:hint="eastAsia" w:ascii="宋体" w:hAnsi="宋体" w:cs="宋体"/>
                <w:color w:val="auto"/>
                <w:sz w:val="24"/>
                <w:szCs w:val="24"/>
                <w:highlight w:val="none"/>
              </w:rPr>
              <w:t>偏差率=100%×（投标人评标价-评标基准价）/评标基准价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960" w:type="dxa"/>
          </w:tcPr>
          <w:p>
            <w:pPr>
              <w:widowControl w:val="0"/>
              <w:tabs>
                <w:tab w:val="left" w:pos="840"/>
              </w:tabs>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条款号</w:t>
            </w:r>
          </w:p>
        </w:tc>
        <w:tc>
          <w:tcPr>
            <w:tcW w:w="1209" w:type="dxa"/>
          </w:tcPr>
          <w:p>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评分因素（偏差率）</w:t>
            </w:r>
          </w:p>
        </w:tc>
        <w:tc>
          <w:tcPr>
            <w:tcW w:w="7512" w:type="dxa"/>
            <w:gridSpan w:val="2"/>
            <w:vAlign w:val="center"/>
          </w:tcPr>
          <w:p>
            <w:pPr>
              <w:widowControl w:val="0"/>
              <w:spacing w:line="320" w:lineRule="exact"/>
              <w:jc w:val="center"/>
              <w:rPr>
                <w:rFonts w:ascii="宋体" w:hAnsi="宋体" w:cs="宋体"/>
                <w:b/>
                <w:color w:val="auto"/>
                <w:sz w:val="24"/>
                <w:szCs w:val="24"/>
                <w:highlight w:val="none"/>
                <w:lang w:eastAsia="en-US"/>
              </w:rPr>
            </w:pPr>
            <w:r>
              <w:rPr>
                <w:rFonts w:hint="eastAsia" w:ascii="宋体" w:hAnsi="宋体" w:cs="宋体"/>
                <w:b/>
                <w:color w:val="auto"/>
                <w:sz w:val="24"/>
                <w:szCs w:val="24"/>
                <w:highlight w:val="none"/>
                <w:lang w:eastAsia="en-US"/>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jc w:val="center"/>
        </w:trPr>
        <w:tc>
          <w:tcPr>
            <w:tcW w:w="960" w:type="dxa"/>
            <w:vAlign w:val="center"/>
          </w:tcPr>
          <w:p>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pPr>
              <w:widowControl w:val="0"/>
              <w:spacing w:line="320" w:lineRule="exact"/>
              <w:ind w:left="20" w:leftChars="10"/>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（1）</w:t>
            </w:r>
          </w:p>
        </w:tc>
        <w:tc>
          <w:tcPr>
            <w:tcW w:w="1209" w:type="dxa"/>
            <w:vAlign w:val="center"/>
          </w:tcPr>
          <w:p>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商务部分</w:t>
            </w:r>
          </w:p>
          <w:p>
            <w:pPr>
              <w:widowControl w:val="0"/>
              <w:spacing w:line="320" w:lineRule="exact"/>
              <w:jc w:val="center"/>
              <w:rPr>
                <w:rFonts w:ascii="宋体" w:hAnsi="宋体" w:cs="宋体"/>
                <w:color w:val="auto"/>
                <w:sz w:val="24"/>
                <w:szCs w:val="24"/>
                <w:highlight w:val="none"/>
              </w:rPr>
            </w:pPr>
            <w:r>
              <w:rPr>
                <w:rFonts w:hint="eastAsia" w:ascii="宋体" w:hAnsi="宋体" w:cs="宋体"/>
                <w:color w:val="auto"/>
                <w:sz w:val="24"/>
                <w:szCs w:val="24"/>
                <w:highlight w:val="none"/>
                <w:lang w:eastAsia="en-US"/>
              </w:rPr>
              <w:t>评分标准</w:t>
            </w:r>
          </w:p>
        </w:tc>
        <w:tc>
          <w:tcPr>
            <w:tcW w:w="1305" w:type="dxa"/>
            <w:tcBorders>
              <w:right w:val="single" w:color="auto" w:sz="4" w:space="0"/>
            </w:tcBorders>
            <w:vAlign w:val="center"/>
          </w:tcPr>
          <w:p>
            <w:pPr>
              <w:widowControl w:val="0"/>
              <w:spacing w:line="32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业绩</w:t>
            </w:r>
          </w:p>
          <w:p>
            <w:pPr>
              <w:widowControl w:val="0"/>
              <w:spacing w:line="320" w:lineRule="exact"/>
              <w:ind w:left="20" w:leftChars="10"/>
              <w:jc w:val="center"/>
              <w:rPr>
                <w:rFonts w:ascii="宋体" w:hAnsi="宋体" w:cs="宋体"/>
                <w:i/>
                <w:color w:val="auto"/>
                <w:kern w:val="2"/>
                <w:sz w:val="24"/>
                <w:szCs w:val="24"/>
                <w:highlight w:val="none"/>
              </w:rPr>
            </w:pPr>
            <w:r>
              <w:rPr>
                <w:rFonts w:hint="eastAsia" w:ascii="宋体" w:hAnsi="宋体" w:cs="宋体"/>
                <w:color w:val="auto"/>
                <w:kern w:val="2"/>
                <w:sz w:val="24"/>
                <w:szCs w:val="24"/>
                <w:highlight w:val="none"/>
              </w:rPr>
              <w:t>（20分）</w:t>
            </w:r>
          </w:p>
        </w:tc>
        <w:tc>
          <w:tcPr>
            <w:tcW w:w="6207" w:type="dxa"/>
            <w:tcBorders>
              <w:left w:val="single" w:color="auto" w:sz="4" w:space="0"/>
            </w:tcBorders>
            <w:vAlign w:val="center"/>
          </w:tcPr>
          <w:p>
            <w:pPr>
              <w:widowControl w:val="0"/>
              <w:overflowPunct w:val="0"/>
              <w:spacing w:line="320" w:lineRule="exact"/>
              <w:ind w:left="20"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1、满足资格审查最低条件（业绩最低要求）的，得</w:t>
            </w:r>
            <w:r>
              <w:rPr>
                <w:rFonts w:hint="eastAsia" w:ascii="宋体" w:hAnsi="宋体" w:cs="宋体"/>
                <w:color w:val="auto"/>
                <w:kern w:val="21"/>
                <w:sz w:val="24"/>
                <w:szCs w:val="24"/>
                <w:highlight w:val="none"/>
              </w:rPr>
              <w:t>12分；</w:t>
            </w:r>
          </w:p>
          <w:p>
            <w:pPr>
              <w:widowControl w:val="0"/>
              <w:overflowPunct w:val="0"/>
              <w:spacing w:line="320" w:lineRule="exact"/>
              <w:ind w:left="20" w:leftChars="10"/>
              <w:jc w:val="both"/>
              <w:rPr>
                <w:rFonts w:ascii="宋体" w:hAnsi="宋体" w:cs="宋体"/>
                <w:color w:val="auto"/>
                <w:kern w:val="21"/>
                <w:sz w:val="24"/>
                <w:szCs w:val="24"/>
                <w:highlight w:val="none"/>
              </w:rPr>
            </w:pPr>
            <w:r>
              <w:rPr>
                <w:rFonts w:ascii="宋体" w:hAnsi="宋体" w:cs="宋体"/>
                <w:color w:val="auto"/>
                <w:kern w:val="21"/>
                <w:sz w:val="24"/>
                <w:szCs w:val="24"/>
                <w:highlight w:val="none"/>
              </w:rPr>
              <w:t>2、每增加1项满足资格条件（业绩最低要求）业绩加</w:t>
            </w:r>
            <w:r>
              <w:rPr>
                <w:rFonts w:hint="eastAsia" w:ascii="宋体" w:hAnsi="宋体" w:cs="宋体"/>
                <w:color w:val="auto"/>
                <w:kern w:val="21"/>
                <w:sz w:val="24"/>
                <w:szCs w:val="24"/>
                <w:highlight w:val="none"/>
              </w:rPr>
              <w:t>2分，最高加8分。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restart"/>
            <w:vAlign w:val="center"/>
          </w:tcPr>
          <w:p>
            <w:pPr>
              <w:widowControl w:val="0"/>
              <w:spacing w:line="320" w:lineRule="exact"/>
              <w:ind w:left="20" w:leftChars="10"/>
              <w:jc w:val="center"/>
              <w:rPr>
                <w:rFonts w:ascii="宋体" w:hAnsi="宋体" w:cs="宋体"/>
                <w:b/>
                <w:color w:val="auto"/>
                <w:sz w:val="24"/>
                <w:szCs w:val="24"/>
                <w:highlight w:val="none"/>
              </w:rPr>
            </w:pPr>
          </w:p>
          <w:p>
            <w:pPr>
              <w:widowControl w:val="0"/>
              <w:spacing w:line="320" w:lineRule="exact"/>
              <w:ind w:left="20" w:leftChars="10"/>
              <w:jc w:val="both"/>
              <w:rPr>
                <w:rFonts w:ascii="宋体" w:hAnsi="宋体" w:cs="宋体"/>
                <w:color w:val="auto"/>
                <w:sz w:val="24"/>
                <w:szCs w:val="24"/>
                <w:highlight w:val="none"/>
              </w:rPr>
            </w:pPr>
          </w:p>
          <w:p>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2.2.4</w:t>
            </w:r>
          </w:p>
          <w:p>
            <w:pPr>
              <w:widowControl w:val="0"/>
              <w:spacing w:line="320" w:lineRule="exact"/>
              <w:ind w:left="20" w:leftChars="10"/>
              <w:jc w:val="both"/>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（2）</w:t>
            </w:r>
          </w:p>
        </w:tc>
        <w:tc>
          <w:tcPr>
            <w:tcW w:w="1209" w:type="dxa"/>
            <w:vMerge w:val="restart"/>
            <w:vAlign w:val="center"/>
          </w:tcPr>
          <w:p>
            <w:pPr>
              <w:widowControl w:val="0"/>
              <w:spacing w:line="320" w:lineRule="exact"/>
              <w:ind w:left="20" w:leftChars="10"/>
              <w:jc w:val="center"/>
              <w:rPr>
                <w:rFonts w:ascii="宋体" w:hAnsi="宋体" w:cs="宋体"/>
                <w:color w:val="auto"/>
                <w:sz w:val="24"/>
                <w:szCs w:val="24"/>
                <w:highlight w:val="none"/>
              </w:rPr>
            </w:pPr>
            <w:r>
              <w:rPr>
                <w:rFonts w:hint="eastAsia" w:ascii="宋体" w:hAnsi="宋体" w:cs="宋体"/>
                <w:color w:val="auto"/>
                <w:sz w:val="24"/>
                <w:szCs w:val="24"/>
                <w:highlight w:val="none"/>
              </w:rPr>
              <w:t>实施方案</w:t>
            </w:r>
            <w:r>
              <w:rPr>
                <w:rFonts w:hint="eastAsia" w:ascii="宋体" w:hAnsi="宋体" w:cs="宋体"/>
                <w:color w:val="auto"/>
                <w:sz w:val="24"/>
                <w:szCs w:val="24"/>
                <w:highlight w:val="none"/>
                <w:lang w:eastAsia="en-US"/>
              </w:rPr>
              <w:t>评分标准</w:t>
            </w:r>
          </w:p>
        </w:tc>
        <w:tc>
          <w:tcPr>
            <w:tcW w:w="1305" w:type="dxa"/>
            <w:tcBorders>
              <w:right w:val="single" w:color="auto" w:sz="4" w:space="0"/>
            </w:tcBorders>
            <w:vAlign w:val="center"/>
          </w:tcPr>
          <w:p>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制造商认证情况</w:t>
            </w:r>
          </w:p>
          <w:p>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（3分）</w:t>
            </w:r>
          </w:p>
        </w:tc>
        <w:tc>
          <w:tcPr>
            <w:tcW w:w="6207" w:type="dxa"/>
            <w:tcBorders>
              <w:left w:val="single" w:color="auto" w:sz="4" w:space="0"/>
            </w:tcBorders>
            <w:vAlign w:val="center"/>
          </w:tcPr>
          <w:p>
            <w:pPr>
              <w:widowControl w:val="0"/>
              <w:jc w:val="both"/>
              <w:rPr>
                <w:rFonts w:ascii="宋体" w:hAnsi="宋体" w:cs="宋体"/>
                <w:color w:val="auto"/>
                <w:sz w:val="24"/>
                <w:szCs w:val="24"/>
                <w:highlight w:val="none"/>
              </w:rPr>
            </w:pPr>
            <w:r>
              <w:rPr>
                <w:rFonts w:hint="eastAsia" w:ascii="宋体" w:hAnsi="宋体" w:cs="宋体"/>
                <w:color w:val="auto"/>
                <w:sz w:val="24"/>
                <w:szCs w:val="24"/>
                <w:highlight w:val="none"/>
              </w:rPr>
              <w:t>制造商具有有效1S09001质量体系认证证书，ISO14001环境管理体系认证证书，ISO45001职业健康安全管理体系认证证书（或</w:t>
            </w:r>
            <w:r>
              <w:rPr>
                <w:rFonts w:ascii="宋体" w:hAnsi="宋体" w:cs="宋体"/>
                <w:color w:val="auto"/>
                <w:sz w:val="24"/>
                <w:szCs w:val="24"/>
                <w:highlight w:val="none"/>
              </w:rPr>
              <w:t>GB/T 28001</w:t>
            </w:r>
            <w:r>
              <w:rPr>
                <w:rFonts w:hint="eastAsia" w:ascii="宋体" w:hAnsi="宋体" w:cs="宋体"/>
                <w:color w:val="auto"/>
                <w:sz w:val="24"/>
                <w:szCs w:val="24"/>
                <w:highlight w:val="none"/>
              </w:rPr>
              <w:t>职业健康安全管理体系认证证书），每提供一个符合要求认证证书</w:t>
            </w:r>
            <w:r>
              <w:rPr>
                <w:rFonts w:hint="eastAsia" w:ascii="宋体" w:hAnsi="宋体" w:cs="宋体"/>
                <w:b/>
                <w:bCs/>
                <w:color w:val="auto"/>
                <w:sz w:val="24"/>
                <w:szCs w:val="24"/>
                <w:highlight w:val="none"/>
              </w:rPr>
              <w:t>得1分，最高3分；</w:t>
            </w:r>
          </w:p>
          <w:p>
            <w:pPr>
              <w:pStyle w:val="16"/>
              <w:spacing w:line="300" w:lineRule="exact"/>
              <w:rPr>
                <w:rFonts w:ascii="宋体" w:hAnsi="宋体" w:cs="宋体"/>
                <w:color w:val="auto"/>
                <w:sz w:val="24"/>
                <w:highlight w:val="none"/>
              </w:rPr>
            </w:pPr>
            <w:r>
              <w:rPr>
                <w:rFonts w:hint="eastAsia" w:ascii="宋体" w:hAnsi="宋体" w:cs="宋体"/>
                <w:color w:val="auto"/>
                <w:sz w:val="24"/>
                <w:highlight w:val="none"/>
              </w:rPr>
              <w:t>注：</w:t>
            </w:r>
          </w:p>
          <w:p>
            <w:pPr>
              <w:pStyle w:val="16"/>
              <w:spacing w:line="300" w:lineRule="exact"/>
              <w:rPr>
                <w:rFonts w:ascii="宋体" w:hAnsi="宋体" w:cs="宋体"/>
                <w:color w:val="auto"/>
                <w:sz w:val="24"/>
                <w:highlight w:val="none"/>
              </w:rPr>
            </w:pPr>
            <w:r>
              <w:rPr>
                <w:rFonts w:hint="eastAsia" w:ascii="宋体" w:hAnsi="宋体" w:cs="宋体"/>
                <w:color w:val="auto"/>
                <w:sz w:val="24"/>
                <w:highlight w:val="none"/>
              </w:rPr>
              <w:t>1.要求认证证书的认证范围必须包含办公家具相关类别，提供认证证书复印件并加盖投标人公章，认证范围不符合要求的不得分。</w:t>
            </w:r>
          </w:p>
          <w:p>
            <w:pPr>
              <w:pStyle w:val="16"/>
              <w:spacing w:line="300" w:lineRule="exact"/>
              <w:rPr>
                <w:color w:val="auto"/>
                <w:highlight w:val="none"/>
              </w:rPr>
            </w:pPr>
            <w:r>
              <w:rPr>
                <w:rFonts w:hint="eastAsia" w:ascii="宋体" w:hAnsi="宋体" w:cs="宋体"/>
                <w:color w:val="auto"/>
                <w:sz w:val="24"/>
                <w:highlight w:val="none"/>
              </w:rPr>
              <w:t>2.代理商投标的，提供其制造商的相关体系认证证书。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pPr>
              <w:widowControl w:val="0"/>
              <w:spacing w:line="320" w:lineRule="exact"/>
              <w:ind w:left="20" w:leftChars="10"/>
              <w:jc w:val="both"/>
              <w:rPr>
                <w:rFonts w:ascii="宋体" w:hAnsi="宋体" w:cs="宋体"/>
                <w:color w:val="auto"/>
                <w:sz w:val="24"/>
                <w:szCs w:val="24"/>
                <w:highlight w:val="none"/>
              </w:rPr>
            </w:pPr>
          </w:p>
        </w:tc>
        <w:tc>
          <w:tcPr>
            <w:tcW w:w="1209" w:type="dxa"/>
            <w:vMerge w:val="continue"/>
            <w:vAlign w:val="center"/>
          </w:tcPr>
          <w:p>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pPr>
              <w:widowControl w:val="0"/>
              <w:spacing w:line="36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产品响应情况</w:t>
            </w:r>
          </w:p>
          <w:p>
            <w:pPr>
              <w:widowControl w:val="0"/>
              <w:spacing w:line="36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（20分）</w:t>
            </w:r>
          </w:p>
        </w:tc>
        <w:tc>
          <w:tcPr>
            <w:tcW w:w="6207" w:type="dxa"/>
            <w:tcBorders>
              <w:left w:val="single" w:color="auto" w:sz="4" w:space="0"/>
            </w:tcBorders>
            <w:vAlign w:val="center"/>
          </w:tcPr>
          <w:p>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根据所投产品技术指标、主要材料、配件等进行综合比较评价：</w:t>
            </w:r>
          </w:p>
          <w:p>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优：16-20分；</w:t>
            </w:r>
          </w:p>
          <w:p>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良好：12-16分；</w:t>
            </w:r>
          </w:p>
          <w:p>
            <w:pPr>
              <w:widowControl w:val="0"/>
              <w:overflowPunct w:val="0"/>
              <w:spacing w:line="36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一般：12分。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供货安装方案</w:t>
            </w:r>
          </w:p>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（9分）</w:t>
            </w:r>
          </w:p>
        </w:tc>
        <w:tc>
          <w:tcPr>
            <w:tcW w:w="6207" w:type="dxa"/>
            <w:tcBorders>
              <w:left w:val="single" w:color="auto" w:sz="4" w:space="0"/>
            </w:tcBorders>
            <w:vAlign w:val="center"/>
          </w:tcPr>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供货安装方案(包括但不限于项目管理及进度安排、检测方案、异味处理、运输、现场安装、验收方案、针对本项目实施的应急预案等)详细、科学合理、切实可行。</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方案优：7.2-9分；</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良好：5.4-7.2分；</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一般：5.4分。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质量保证措施</w:t>
            </w:r>
          </w:p>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（8分）</w:t>
            </w:r>
          </w:p>
        </w:tc>
        <w:tc>
          <w:tcPr>
            <w:tcW w:w="6207" w:type="dxa"/>
            <w:tcBorders>
              <w:left w:val="single" w:color="auto" w:sz="4" w:space="0"/>
            </w:tcBorders>
            <w:vAlign w:val="center"/>
          </w:tcPr>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产品质量保证措施：产品质量管理完善，质量管理方案有针对性，有切实可行的保证产品质量的措施,有产品检验作业指导书等情况进行评审：</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方案优：6.4-8分；</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良好：4.8-6.4分；</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一般：4.8分。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pPr>
              <w:widowControl w:val="0"/>
              <w:spacing w:line="32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售后服务方案</w:t>
            </w:r>
          </w:p>
          <w:p>
            <w:pPr>
              <w:widowControl w:val="0"/>
              <w:spacing w:line="320" w:lineRule="exact"/>
              <w:ind w:left="20" w:leftChars="1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（5分）</w:t>
            </w:r>
          </w:p>
        </w:tc>
        <w:tc>
          <w:tcPr>
            <w:tcW w:w="6207" w:type="dxa"/>
            <w:tcBorders>
              <w:left w:val="single" w:color="auto" w:sz="4" w:space="0"/>
            </w:tcBorders>
            <w:vAlign w:val="center"/>
          </w:tcPr>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售后服务方案（包括投标人针对本项目服务的措施，售后服务的内容、质保期限长短、服务响应时间、维修时间、问题的解决方案、巡检服务计划、售后服务体系及人员安排）详细、科学合理、响应时间、切实可行等方面进行评审。</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方案优：4-5分；</w:t>
            </w:r>
          </w:p>
          <w:p>
            <w:pPr>
              <w:widowControl w:val="0"/>
              <w:overflowPunct w:val="0"/>
              <w:spacing w:line="320" w:lineRule="exact"/>
              <w:ind w:left="40" w:leftChars="2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良好：3-4分；</w:t>
            </w:r>
          </w:p>
          <w:p>
            <w:pPr>
              <w:widowControl w:val="0"/>
              <w:overflowPunct w:val="0"/>
              <w:spacing w:line="320" w:lineRule="exact"/>
              <w:ind w:left="40" w:leftChars="20"/>
              <w:jc w:val="both"/>
              <w:rPr>
                <w:color w:val="auto"/>
                <w:highlight w:val="none"/>
              </w:rPr>
            </w:pPr>
            <w:r>
              <w:rPr>
                <w:rFonts w:hint="eastAsia" w:ascii="宋体" w:hAnsi="宋体" w:cs="宋体"/>
                <w:color w:val="auto"/>
                <w:kern w:val="21"/>
                <w:sz w:val="24"/>
                <w:szCs w:val="24"/>
                <w:highlight w:val="none"/>
              </w:rPr>
              <w:t>一般：3分。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60" w:type="dxa"/>
            <w:vMerge w:val="continue"/>
            <w:vAlign w:val="center"/>
          </w:tcPr>
          <w:p>
            <w:pPr>
              <w:widowControl w:val="0"/>
              <w:spacing w:line="320" w:lineRule="exact"/>
              <w:ind w:left="20" w:leftChars="10"/>
              <w:jc w:val="both"/>
              <w:rPr>
                <w:rFonts w:ascii="宋体" w:hAnsi="宋体" w:cs="宋体"/>
                <w:color w:val="auto"/>
                <w:sz w:val="24"/>
                <w:szCs w:val="24"/>
                <w:highlight w:val="none"/>
                <w:lang w:eastAsia="en-US"/>
              </w:rPr>
            </w:pPr>
          </w:p>
        </w:tc>
        <w:tc>
          <w:tcPr>
            <w:tcW w:w="1209" w:type="dxa"/>
            <w:vMerge w:val="continue"/>
            <w:vAlign w:val="center"/>
          </w:tcPr>
          <w:p>
            <w:pPr>
              <w:widowControl w:val="0"/>
              <w:spacing w:line="320" w:lineRule="exact"/>
              <w:ind w:left="20" w:leftChars="10"/>
              <w:jc w:val="center"/>
              <w:rPr>
                <w:rFonts w:ascii="宋体" w:hAnsi="宋体" w:cs="宋体"/>
                <w:color w:val="auto"/>
                <w:sz w:val="24"/>
                <w:szCs w:val="24"/>
                <w:highlight w:val="none"/>
              </w:rPr>
            </w:pPr>
          </w:p>
        </w:tc>
        <w:tc>
          <w:tcPr>
            <w:tcW w:w="1305" w:type="dxa"/>
            <w:tcBorders>
              <w:right w:val="single" w:color="auto" w:sz="4" w:space="0"/>
            </w:tcBorders>
            <w:vAlign w:val="center"/>
          </w:tcPr>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生产设备配置情况</w:t>
            </w:r>
          </w:p>
          <w:p>
            <w:pPr>
              <w:widowControl w:val="0"/>
              <w:spacing w:line="320" w:lineRule="exact"/>
              <w:ind w:left="40" w:leftChars="20"/>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（5分）</w:t>
            </w:r>
          </w:p>
        </w:tc>
        <w:tc>
          <w:tcPr>
            <w:tcW w:w="6207" w:type="dxa"/>
            <w:tcBorders>
              <w:left w:val="single" w:color="auto" w:sz="4" w:space="0"/>
            </w:tcBorders>
            <w:vAlign w:val="center"/>
          </w:tcPr>
          <w:p>
            <w:pPr>
              <w:rPr>
                <w:rFonts w:ascii="宋体" w:hAnsi="宋体"/>
                <w:color w:val="auto"/>
                <w:sz w:val="24"/>
                <w:highlight w:val="none"/>
              </w:rPr>
            </w:pPr>
            <w:r>
              <w:rPr>
                <w:rFonts w:hint="eastAsia" w:ascii="宋体" w:hAnsi="宋体"/>
                <w:color w:val="auto"/>
                <w:sz w:val="24"/>
                <w:highlight w:val="none"/>
              </w:rPr>
              <w:t>根据投标人所投产品生产设备，包括全自动喷涂流水线设备、疲劳试验设备、冲击试验设备、高低温试验箱、木板烘干机、封边机、热压机、推弯机、热压成型机、数控雕刻机等设备情况进行评价，每提供1类生产设备，得 0.5 分，此项最高得5分。</w:t>
            </w:r>
          </w:p>
          <w:p>
            <w:pPr>
              <w:widowControl w:val="0"/>
              <w:spacing w:line="320" w:lineRule="exact"/>
              <w:ind w:left="40" w:leftChars="20"/>
              <w:rPr>
                <w:rFonts w:ascii="宋体" w:hAnsi="宋体" w:cs="宋体"/>
                <w:color w:val="auto"/>
                <w:kern w:val="2"/>
                <w:sz w:val="24"/>
                <w:szCs w:val="24"/>
                <w:highlight w:val="none"/>
              </w:rPr>
            </w:pPr>
            <w:r>
              <w:rPr>
                <w:rFonts w:hint="eastAsia" w:ascii="宋体" w:hAnsi="宋体"/>
                <w:color w:val="auto"/>
                <w:sz w:val="24"/>
                <w:highlight w:val="none"/>
              </w:rPr>
              <w:t>注：1.须在投标文件中提供</w:t>
            </w:r>
            <w:r>
              <w:rPr>
                <w:rFonts w:ascii="宋体" w:hAnsi="宋体"/>
                <w:bCs/>
                <w:color w:val="auto"/>
                <w:sz w:val="24"/>
                <w:highlight w:val="none"/>
              </w:rPr>
              <w:t>设备现场作业拍照场景</w:t>
            </w:r>
            <w:r>
              <w:rPr>
                <w:rFonts w:hint="eastAsia" w:ascii="宋体" w:hAnsi="宋体"/>
                <w:bCs/>
                <w:color w:val="auto"/>
                <w:sz w:val="24"/>
                <w:highlight w:val="none"/>
              </w:rPr>
              <w:t>、</w:t>
            </w:r>
            <w:r>
              <w:rPr>
                <w:rFonts w:ascii="宋体" w:hAnsi="宋体"/>
                <w:bCs/>
                <w:color w:val="auto"/>
                <w:sz w:val="24"/>
                <w:highlight w:val="none"/>
              </w:rPr>
              <w:t>采购合同（或租赁合同）</w:t>
            </w:r>
            <w:r>
              <w:rPr>
                <w:rFonts w:hint="eastAsia" w:ascii="宋体" w:hAnsi="宋体"/>
                <w:bCs/>
                <w:color w:val="auto"/>
                <w:sz w:val="24"/>
                <w:highlight w:val="none"/>
              </w:rPr>
              <w:t>或</w:t>
            </w:r>
            <w:r>
              <w:rPr>
                <w:rFonts w:ascii="宋体" w:hAnsi="宋体"/>
                <w:bCs/>
                <w:color w:val="auto"/>
                <w:sz w:val="24"/>
                <w:highlight w:val="none"/>
              </w:rPr>
              <w:t>所购置设备发票的复印件，发票单位名称必须与</w:t>
            </w:r>
            <w:r>
              <w:rPr>
                <w:rFonts w:hint="eastAsia" w:ascii="宋体" w:hAnsi="宋体"/>
                <w:bCs/>
                <w:color w:val="auto"/>
                <w:sz w:val="24"/>
                <w:highlight w:val="none"/>
              </w:rPr>
              <w:t>投标人</w:t>
            </w:r>
            <w:r>
              <w:rPr>
                <w:rFonts w:ascii="宋体" w:hAnsi="宋体"/>
                <w:bCs/>
                <w:color w:val="auto"/>
                <w:sz w:val="24"/>
                <w:highlight w:val="none"/>
              </w:rPr>
              <w:t>名称一致</w:t>
            </w:r>
            <w:r>
              <w:rPr>
                <w:rFonts w:hint="eastAsia" w:ascii="宋体" w:hAnsi="宋体" w:cs="宋体"/>
                <w:color w:val="auto"/>
                <w:kern w:val="2"/>
                <w:sz w:val="24"/>
                <w:szCs w:val="24"/>
                <w:highlight w:val="none"/>
              </w:rPr>
              <w:t>。</w:t>
            </w:r>
          </w:p>
          <w:p>
            <w:pPr>
              <w:pStyle w:val="5"/>
              <w:rPr>
                <w:rFonts w:hAnsi="宋体" w:cs="宋体"/>
                <w:color w:val="auto"/>
                <w:sz w:val="24"/>
                <w:highlight w:val="none"/>
              </w:rPr>
            </w:pPr>
            <w:r>
              <w:rPr>
                <w:rFonts w:hint="eastAsia" w:hAnsi="宋体" w:cs="宋体"/>
                <w:color w:val="auto"/>
                <w:sz w:val="24"/>
                <w:highlight w:val="none"/>
              </w:rPr>
              <w:t>2.</w:t>
            </w:r>
            <w:r>
              <w:rPr>
                <w:rFonts w:hint="eastAsia" w:hAnsi="宋体" w:cs="Arial"/>
                <w:bCs/>
                <w:color w:val="auto"/>
                <w:sz w:val="24"/>
                <w:highlight w:val="none"/>
              </w:rPr>
              <w:t>代理商投标的，提供其制造商的采购合同（或租赁合同）或设备发票，</w:t>
            </w:r>
            <w:r>
              <w:rPr>
                <w:rFonts w:hAnsi="宋体" w:cs="Arial"/>
                <w:bCs/>
                <w:color w:val="auto"/>
                <w:sz w:val="24"/>
                <w:highlight w:val="none"/>
              </w:rPr>
              <w:t>发票单位名称必须与</w:t>
            </w:r>
            <w:r>
              <w:rPr>
                <w:rFonts w:hint="eastAsia" w:hAnsi="宋体" w:cs="Arial"/>
                <w:bCs/>
                <w:color w:val="auto"/>
                <w:sz w:val="24"/>
                <w:highlight w:val="none"/>
              </w:rPr>
              <w:t>其制造商</w:t>
            </w:r>
            <w:r>
              <w:rPr>
                <w:rFonts w:hAnsi="宋体" w:cs="Arial"/>
                <w:bCs/>
                <w:color w:val="auto"/>
                <w:sz w:val="24"/>
                <w:highlight w:val="none"/>
              </w:rPr>
              <w:t>名称一致</w:t>
            </w:r>
            <w:r>
              <w:rPr>
                <w:rFonts w:hint="eastAsia" w:hAnsi="宋体" w:cs="宋体"/>
                <w:color w:val="auto"/>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9" w:hRule="atLeast"/>
          <w:jc w:val="center"/>
        </w:trPr>
        <w:tc>
          <w:tcPr>
            <w:tcW w:w="960" w:type="dxa"/>
            <w:vAlign w:val="center"/>
          </w:tcPr>
          <w:p>
            <w:pPr>
              <w:pStyle w:val="17"/>
              <w:autoSpaceDE/>
              <w:spacing w:line="320" w:lineRule="exact"/>
              <w:ind w:left="20" w:leftChars="10"/>
              <w:jc w:val="center"/>
              <w:rPr>
                <w:color w:val="auto"/>
                <w:sz w:val="24"/>
                <w:szCs w:val="24"/>
                <w:highlight w:val="none"/>
              </w:rPr>
            </w:pPr>
            <w:r>
              <w:rPr>
                <w:rFonts w:hint="eastAsia"/>
                <w:color w:val="auto"/>
                <w:sz w:val="24"/>
                <w:szCs w:val="24"/>
                <w:highlight w:val="none"/>
              </w:rPr>
              <w:t>2.2.4</w:t>
            </w:r>
          </w:p>
          <w:p>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（3）</w:t>
            </w:r>
          </w:p>
        </w:tc>
        <w:tc>
          <w:tcPr>
            <w:tcW w:w="1209" w:type="dxa"/>
            <w:vAlign w:val="center"/>
          </w:tcPr>
          <w:p>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rPr>
              <w:t>评</w:t>
            </w:r>
            <w:r>
              <w:rPr>
                <w:rFonts w:hint="eastAsia" w:ascii="宋体" w:hAnsi="宋体" w:cs="宋体"/>
                <w:color w:val="auto"/>
                <w:sz w:val="24"/>
                <w:szCs w:val="24"/>
                <w:highlight w:val="none"/>
                <w:lang w:eastAsia="en-US"/>
              </w:rPr>
              <w:t>标价</w:t>
            </w:r>
          </w:p>
          <w:p>
            <w:pPr>
              <w:widowControl w:val="0"/>
              <w:spacing w:line="320" w:lineRule="exact"/>
              <w:ind w:left="20" w:leftChars="10"/>
              <w:jc w:val="center"/>
              <w:rPr>
                <w:rFonts w:ascii="宋体" w:hAnsi="宋体" w:cs="宋体"/>
                <w:color w:val="auto"/>
                <w:sz w:val="24"/>
                <w:szCs w:val="24"/>
                <w:highlight w:val="none"/>
                <w:lang w:eastAsia="en-US"/>
              </w:rPr>
            </w:pPr>
            <w:r>
              <w:rPr>
                <w:rFonts w:hint="eastAsia" w:ascii="宋体" w:hAnsi="宋体" w:cs="宋体"/>
                <w:color w:val="auto"/>
                <w:sz w:val="24"/>
                <w:szCs w:val="24"/>
                <w:highlight w:val="none"/>
                <w:lang w:eastAsia="en-US"/>
              </w:rPr>
              <w:t>评分标准</w:t>
            </w:r>
          </w:p>
        </w:tc>
        <w:tc>
          <w:tcPr>
            <w:tcW w:w="1305" w:type="dxa"/>
            <w:vAlign w:val="center"/>
          </w:tcPr>
          <w:p>
            <w:pPr>
              <w:widowControl w:val="0"/>
              <w:spacing w:line="320" w:lineRule="exact"/>
              <w:ind w:left="20" w:leftChars="10"/>
              <w:jc w:val="center"/>
              <w:rPr>
                <w:rFonts w:ascii="宋体" w:hAnsi="宋体" w:cs="宋体"/>
                <w:color w:val="auto"/>
                <w:sz w:val="24"/>
                <w:szCs w:val="24"/>
                <w:highlight w:val="none"/>
              </w:rPr>
            </w:pPr>
            <w:r>
              <w:rPr>
                <w:rFonts w:hint="eastAsia" w:ascii="宋体" w:hAnsi="宋体" w:cs="宋体"/>
                <w:color w:val="auto"/>
                <w:sz w:val="24"/>
                <w:szCs w:val="24"/>
                <w:highlight w:val="none"/>
              </w:rPr>
              <w:t>30分</w:t>
            </w:r>
          </w:p>
        </w:tc>
        <w:tc>
          <w:tcPr>
            <w:tcW w:w="6207" w:type="dxa"/>
            <w:tcBorders>
              <w:top w:val="single" w:color="auto" w:sz="4" w:space="0"/>
              <w:bottom w:val="single" w:color="auto" w:sz="4" w:space="0"/>
            </w:tcBorders>
          </w:tcPr>
          <w:p>
            <w:pPr>
              <w:pStyle w:val="10"/>
              <w:overflowPunct w:val="0"/>
              <w:spacing w:after="0" w:line="320" w:lineRule="exact"/>
              <w:ind w:left="20" w:leftChars="10" w:firstLine="0" w:firstLineChars="0"/>
              <w:rPr>
                <w:rFonts w:ascii="宋体" w:hAnsi="宋体" w:cs="宋体"/>
                <w:color w:val="auto"/>
                <w:kern w:val="21"/>
                <w:sz w:val="24"/>
                <w:highlight w:val="none"/>
              </w:rPr>
            </w:pPr>
            <w:r>
              <w:rPr>
                <w:rFonts w:hint="eastAsia" w:ascii="宋体" w:hAnsi="宋体" w:cs="宋体"/>
                <w:color w:val="auto"/>
                <w:kern w:val="21"/>
                <w:sz w:val="24"/>
                <w:highlight w:val="none"/>
              </w:rPr>
              <w:t>评标价得分计算公式：</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（1）如果投标人的评标价＞评标基准价，则评标价得分</w:t>
            </w:r>
            <w:r>
              <w:rPr>
                <w:rFonts w:ascii="宋体" w:hAnsi="宋体" w:cs="宋体"/>
                <w:color w:val="auto"/>
                <w:kern w:val="21"/>
                <w:sz w:val="24"/>
                <w:szCs w:val="24"/>
                <w:highlight w:val="none"/>
              </w:rPr>
              <w:t>=</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0-偏差率×100×E1</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2）如果投标人的评标价≤评标基准价，则评标价得分=</w:t>
            </w:r>
            <w:r>
              <w:rPr>
                <w:rFonts w:hint="eastAsia" w:ascii="宋体" w:hAnsi="宋体" w:cs="宋体"/>
                <w:color w:val="auto"/>
                <w:kern w:val="21"/>
                <w:sz w:val="24"/>
                <w:szCs w:val="24"/>
                <w:highlight w:val="none"/>
              </w:rPr>
              <w:t>(3</w:t>
            </w:r>
            <w:r>
              <w:rPr>
                <w:rFonts w:ascii="宋体" w:hAnsi="宋体" w:cs="宋体"/>
                <w:color w:val="auto"/>
                <w:kern w:val="21"/>
                <w:sz w:val="24"/>
                <w:szCs w:val="24"/>
                <w:highlight w:val="none"/>
              </w:rPr>
              <w:t>0+偏差率×100×E2</w:t>
            </w:r>
            <w:r>
              <w:rPr>
                <w:rFonts w:hint="eastAsia" w:ascii="宋体" w:hAnsi="宋体" w:cs="宋体"/>
                <w:color w:val="auto"/>
                <w:kern w:val="21"/>
                <w:sz w:val="24"/>
                <w:szCs w:val="24"/>
                <w:highlight w:val="none"/>
              </w:rPr>
              <w:t>)</w:t>
            </w:r>
            <w:r>
              <w:rPr>
                <w:rFonts w:ascii="宋体" w:hAnsi="宋体" w:cs="宋体"/>
                <w:color w:val="auto"/>
                <w:kern w:val="21"/>
                <w:sz w:val="24"/>
                <w:szCs w:val="24"/>
                <w:highlight w:val="none"/>
              </w:rPr>
              <w:t>；</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其中：</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E1是评标价每高于评标基准价一个百分点的扣分值，E1＝0.2；</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E2是评标价每低于评标基准价一个百分点的扣分值，E2＝0.1。</w:t>
            </w:r>
          </w:p>
          <w:p>
            <w:pPr>
              <w:widowControl w:val="0"/>
              <w:overflowPunct w:val="0"/>
              <w:spacing w:line="320" w:lineRule="exact"/>
              <w:ind w:left="20" w:leftChars="10"/>
              <w:jc w:val="both"/>
              <w:rPr>
                <w:rFonts w:ascii="宋体" w:hAnsi="宋体" w:cs="宋体"/>
                <w:color w:val="auto"/>
                <w:kern w:val="21"/>
                <w:sz w:val="24"/>
                <w:szCs w:val="24"/>
                <w:highlight w:val="none"/>
              </w:rPr>
            </w:pPr>
            <w:r>
              <w:rPr>
                <w:rFonts w:hint="eastAsia" w:ascii="宋体" w:hAnsi="宋体" w:cs="宋体"/>
                <w:color w:val="auto"/>
                <w:kern w:val="21"/>
                <w:sz w:val="24"/>
                <w:szCs w:val="24"/>
                <w:highlight w:val="none"/>
              </w:rPr>
              <w:t>评标价最低得分为0分。</w:t>
            </w:r>
          </w:p>
          <w:p>
            <w:pPr>
              <w:widowControl w:val="0"/>
              <w:overflowPunct w:val="0"/>
              <w:spacing w:line="320" w:lineRule="exact"/>
              <w:ind w:left="20" w:leftChars="10"/>
              <w:jc w:val="both"/>
              <w:rPr>
                <w:rFonts w:ascii="宋体" w:hAnsi="宋体" w:cs="宋体"/>
                <w:color w:val="auto"/>
                <w:spacing w:val="-4"/>
                <w:kern w:val="21"/>
                <w:sz w:val="24"/>
                <w:szCs w:val="24"/>
                <w:highlight w:val="none"/>
              </w:rPr>
            </w:pPr>
            <w:r>
              <w:rPr>
                <w:rFonts w:hint="eastAsia" w:ascii="宋体" w:hAnsi="宋体" w:cs="宋体"/>
                <w:color w:val="auto"/>
                <w:kern w:val="21"/>
                <w:sz w:val="24"/>
                <w:szCs w:val="24"/>
                <w:highlight w:val="none"/>
              </w:rPr>
              <w:t>评标价得分保留小数点后两位，小数点后第三位“四舍五入”。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jc w:val="center"/>
        </w:trPr>
        <w:tc>
          <w:tcPr>
            <w:tcW w:w="9681" w:type="dxa"/>
            <w:gridSpan w:val="4"/>
            <w:vAlign w:val="center"/>
          </w:tcPr>
          <w:p>
            <w:pPr>
              <w:pStyle w:val="10"/>
              <w:spacing w:after="0" w:line="320" w:lineRule="exact"/>
              <w:ind w:left="20" w:leftChars="10" w:firstLine="0" w:firstLineChars="0"/>
              <w:rPr>
                <w:color w:val="auto"/>
                <w:sz w:val="24"/>
                <w:highlight w:val="none"/>
              </w:rPr>
            </w:pPr>
            <w:r>
              <w:rPr>
                <w:rFonts w:hint="eastAsia"/>
                <w:color w:val="auto"/>
                <w:sz w:val="24"/>
                <w:highlight w:val="none"/>
              </w:rPr>
              <w:t>增加：信息查询</w:t>
            </w:r>
          </w:p>
          <w:p>
            <w:pPr>
              <w:spacing w:line="320" w:lineRule="exact"/>
              <w:ind w:left="20" w:leftChars="10"/>
              <w:rPr>
                <w:rFonts w:ascii="宋体" w:hAnsi="宋体" w:cs="宋体"/>
                <w:color w:val="auto"/>
                <w:sz w:val="24"/>
                <w:szCs w:val="24"/>
                <w:highlight w:val="none"/>
              </w:rPr>
            </w:pPr>
            <w:r>
              <w:rPr>
                <w:rFonts w:hint="eastAsia" w:ascii="宋体" w:hAnsi="宋体" w:cs="宋体"/>
                <w:color w:val="auto"/>
                <w:sz w:val="24"/>
                <w:szCs w:val="24"/>
                <w:highlight w:val="none"/>
              </w:rPr>
              <w:t>在评标过程中，评标委员会应对以下信息进行查询：</w:t>
            </w:r>
          </w:p>
          <w:p>
            <w:pPr>
              <w:spacing w:line="320" w:lineRule="exact"/>
              <w:ind w:left="20"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1）投标人信用情况网页截图内容与在“国家企业信用信息公示系统”中严重违法失信名单（黑名单）信息（不含分公司）或在“信用中国”网站“中失信被执行人、经营（活动）异常名录、安全生产严重失信主体、重大税收违法失信主体、政府采购严重违法失信行为记录名单（均不含分公司）的复核结果一致。</w:t>
            </w:r>
          </w:p>
          <w:p>
            <w:pPr>
              <w:spacing w:line="320" w:lineRule="exact"/>
              <w:ind w:left="20" w:leftChars="10" w:firstLine="374" w:firstLineChars="156"/>
              <w:rPr>
                <w:rFonts w:ascii="宋体" w:hAnsi="宋体" w:cs="宋体"/>
                <w:color w:val="auto"/>
                <w:sz w:val="24"/>
                <w:szCs w:val="24"/>
                <w:highlight w:val="none"/>
              </w:rPr>
            </w:pPr>
            <w:r>
              <w:rPr>
                <w:rFonts w:hint="eastAsia" w:ascii="宋体" w:hAnsi="宋体" w:cs="宋体"/>
                <w:color w:val="auto"/>
                <w:sz w:val="24"/>
                <w:szCs w:val="24"/>
                <w:highlight w:val="none"/>
              </w:rPr>
              <w:t>如投标人未提供相关网页截图或所附截图与复核结果不一致导致不能满足资格评审要求的，评标委员会应否决其投标。</w:t>
            </w:r>
          </w:p>
          <w:p>
            <w:pPr>
              <w:spacing w:line="320" w:lineRule="exact"/>
              <w:ind w:left="20" w:leftChars="1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pPr>
              <w:pStyle w:val="3"/>
              <w:ind w:left="20" w:leftChars="10"/>
              <w:rPr>
                <w:color w:val="auto"/>
                <w:sz w:val="24"/>
                <w:highlight w:val="none"/>
              </w:rPr>
            </w:pPr>
            <w:r>
              <w:rPr>
                <w:rFonts w:hint="eastAsia" w:ascii="宋体" w:hAnsi="宋体" w:cs="宋体"/>
                <w:color w:val="auto"/>
                <w:sz w:val="24"/>
                <w:highlight w:val="none"/>
                <w:lang w:bidi="ar"/>
              </w:rPr>
              <w:t>投标人应保证本款所附的全部截图的真实性。</w:t>
            </w:r>
            <w:r>
              <w:rPr>
                <w:rFonts w:hint="eastAsia" w:ascii="宋体" w:hAnsi="宋体" w:cs="宋体"/>
                <w:color w:val="auto"/>
                <w:sz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pPr>
        <w:pStyle w:val="13"/>
        <w:ind w:left="420" w:firstLine="0"/>
        <w:rPr>
          <w:rFonts w:ascii="宋体" w:hAnsi="宋体" w:cs="宋体"/>
          <w:color w:val="auto"/>
          <w:szCs w:val="21"/>
          <w:highlight w:val="none"/>
        </w:rPr>
      </w:pPr>
      <w:r>
        <w:rPr>
          <w:rFonts w:hint="eastAsia" w:ascii="宋体" w:hAnsi="宋体" w:cs="宋体"/>
          <w:color w:val="auto"/>
          <w:szCs w:val="21"/>
          <w:highlight w:val="none"/>
        </w:rPr>
        <w:t>注：1.评委打分保留一位小数，各评分因素得分应以评标委员会各成员的打分平均值确定，保留两位小数，第三位四舍五入。</w:t>
      </w:r>
    </w:p>
    <w:p>
      <w:pPr>
        <w:pStyle w:val="13"/>
        <w:ind w:left="420" w:firstLine="400" w:firstLineChars="200"/>
        <w:rPr>
          <w:color w:val="auto"/>
          <w:kern w:val="2"/>
          <w:sz w:val="21"/>
          <w:highlight w:val="none"/>
        </w:rPr>
      </w:pPr>
      <w:r>
        <w:rPr>
          <w:rFonts w:hint="eastAsia" w:ascii="宋体" w:hAnsi="宋体" w:cs="宋体"/>
          <w:color w:val="auto"/>
          <w:szCs w:val="21"/>
          <w:highlight w:val="none"/>
        </w:rPr>
        <w:t>2.技术部分评分因素缺项则该项得0分</w:t>
      </w:r>
      <w:r>
        <w:rPr>
          <w:rFonts w:hint="eastAsia"/>
          <w:color w:val="auto"/>
          <w:kern w:val="2"/>
          <w:sz w:val="21"/>
          <w:highlight w:val="none"/>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00000000"/>
    <w:rsid w:val="01752B55"/>
    <w:rsid w:val="01F1646E"/>
    <w:rsid w:val="052B11AA"/>
    <w:rsid w:val="053765B9"/>
    <w:rsid w:val="05482EA2"/>
    <w:rsid w:val="064102F9"/>
    <w:rsid w:val="067A164E"/>
    <w:rsid w:val="07FC4D37"/>
    <w:rsid w:val="0AB54A42"/>
    <w:rsid w:val="0CA8704E"/>
    <w:rsid w:val="0E81287E"/>
    <w:rsid w:val="12476BEA"/>
    <w:rsid w:val="15252667"/>
    <w:rsid w:val="153B67D4"/>
    <w:rsid w:val="16415095"/>
    <w:rsid w:val="17C044C3"/>
    <w:rsid w:val="18670549"/>
    <w:rsid w:val="1B676774"/>
    <w:rsid w:val="1C063B10"/>
    <w:rsid w:val="1D7B470C"/>
    <w:rsid w:val="1D951969"/>
    <w:rsid w:val="1F071645"/>
    <w:rsid w:val="1F58329B"/>
    <w:rsid w:val="214C45F4"/>
    <w:rsid w:val="23585E1D"/>
    <w:rsid w:val="237B6F63"/>
    <w:rsid w:val="262B258E"/>
    <w:rsid w:val="267C5F31"/>
    <w:rsid w:val="27065532"/>
    <w:rsid w:val="27C849A7"/>
    <w:rsid w:val="29FD3CFB"/>
    <w:rsid w:val="2A14027C"/>
    <w:rsid w:val="2A7201E4"/>
    <w:rsid w:val="2C053E53"/>
    <w:rsid w:val="2C461E1C"/>
    <w:rsid w:val="2E355690"/>
    <w:rsid w:val="2EED0ED3"/>
    <w:rsid w:val="2F12606C"/>
    <w:rsid w:val="2FE07023"/>
    <w:rsid w:val="30646183"/>
    <w:rsid w:val="31EE7681"/>
    <w:rsid w:val="34715C57"/>
    <w:rsid w:val="35F04520"/>
    <w:rsid w:val="36AE5B31"/>
    <w:rsid w:val="37DE6BB9"/>
    <w:rsid w:val="38F0586E"/>
    <w:rsid w:val="39BF72B4"/>
    <w:rsid w:val="3A610169"/>
    <w:rsid w:val="3AFE0D2F"/>
    <w:rsid w:val="3B4A3961"/>
    <w:rsid w:val="3BED56CD"/>
    <w:rsid w:val="3D784A90"/>
    <w:rsid w:val="3E864610"/>
    <w:rsid w:val="3F405866"/>
    <w:rsid w:val="4327445A"/>
    <w:rsid w:val="438E434B"/>
    <w:rsid w:val="439515D5"/>
    <w:rsid w:val="43A66C1F"/>
    <w:rsid w:val="48A43D49"/>
    <w:rsid w:val="4B4311A8"/>
    <w:rsid w:val="4B720118"/>
    <w:rsid w:val="4BEE2E5D"/>
    <w:rsid w:val="4E1C46B2"/>
    <w:rsid w:val="51ED2A7B"/>
    <w:rsid w:val="54697928"/>
    <w:rsid w:val="56FC3747"/>
    <w:rsid w:val="5787161D"/>
    <w:rsid w:val="5C09106B"/>
    <w:rsid w:val="5C761162"/>
    <w:rsid w:val="5C926C63"/>
    <w:rsid w:val="5E554B9A"/>
    <w:rsid w:val="61CF197C"/>
    <w:rsid w:val="63737747"/>
    <w:rsid w:val="654419FA"/>
    <w:rsid w:val="65E20F44"/>
    <w:rsid w:val="6683726D"/>
    <w:rsid w:val="669B5E8E"/>
    <w:rsid w:val="67367C78"/>
    <w:rsid w:val="678A4CB4"/>
    <w:rsid w:val="67FA6F08"/>
    <w:rsid w:val="6EA91E8E"/>
    <w:rsid w:val="708243D3"/>
    <w:rsid w:val="71AA3117"/>
    <w:rsid w:val="735C2CFF"/>
    <w:rsid w:val="74497FB5"/>
    <w:rsid w:val="75456D0E"/>
    <w:rsid w:val="75610AB3"/>
    <w:rsid w:val="777F589E"/>
    <w:rsid w:val="78F758DF"/>
    <w:rsid w:val="7D5239E6"/>
    <w:rsid w:val="7EC84463"/>
    <w:rsid w:val="7F893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Arial"/>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spacing w:line="400" w:lineRule="exact"/>
      <w:ind w:firstLine="420" w:firstLineChars="200"/>
    </w:pPr>
    <w:rPr>
      <w:rFonts w:ascii="宋体" w:hAnsi="宋体" w:cs="宋体"/>
      <w:bCs/>
      <w:color w:val="000000"/>
      <w:sz w:val="21"/>
      <w:szCs w:val="21"/>
    </w:rPr>
  </w:style>
  <w:style w:type="paragraph" w:styleId="3">
    <w:name w:val="annotation text"/>
    <w:basedOn w:val="1"/>
    <w:next w:val="2"/>
    <w:qFormat/>
    <w:uiPriority w:val="0"/>
    <w:rPr>
      <w:szCs w:val="24"/>
    </w:rPr>
  </w:style>
  <w:style w:type="paragraph" w:styleId="4">
    <w:name w:val="Body Text"/>
    <w:basedOn w:val="1"/>
    <w:next w:val="5"/>
    <w:qFormat/>
    <w:uiPriority w:val="99"/>
    <w:pPr>
      <w:widowControl w:val="0"/>
      <w:spacing w:after="120"/>
      <w:jc w:val="both"/>
    </w:pPr>
    <w:rPr>
      <w:rFonts w:cs="Times New Roman"/>
      <w:kern w:val="2"/>
      <w:sz w:val="21"/>
      <w:szCs w:val="24"/>
    </w:rPr>
  </w:style>
  <w:style w:type="paragraph" w:styleId="5">
    <w:name w:val="Body Text First Indent"/>
    <w:basedOn w:val="4"/>
    <w:next w:val="6"/>
    <w:qFormat/>
    <w:uiPriority w:val="0"/>
    <w:pPr>
      <w:autoSpaceDE w:val="0"/>
      <w:autoSpaceDN w:val="0"/>
      <w:adjustRightInd w:val="0"/>
      <w:ind w:firstLine="420"/>
      <w:jc w:val="left"/>
      <w:textAlignment w:val="baseline"/>
    </w:pPr>
    <w:rPr>
      <w:rFonts w:ascii="宋体"/>
      <w:sz w:val="34"/>
    </w:rPr>
  </w:style>
  <w:style w:type="paragraph" w:styleId="6">
    <w:name w:val="toc 6"/>
    <w:basedOn w:val="1"/>
    <w:next w:val="1"/>
    <w:qFormat/>
    <w:uiPriority w:val="0"/>
    <w:pPr>
      <w:autoSpaceDE w:val="0"/>
      <w:autoSpaceDN w:val="0"/>
      <w:adjustRightInd w:val="0"/>
      <w:ind w:left="2100" w:leftChars="1000"/>
    </w:pPr>
  </w:style>
  <w:style w:type="paragraph" w:styleId="7">
    <w:name w:val="Body Text Indent"/>
    <w:basedOn w:val="1"/>
    <w:qFormat/>
    <w:uiPriority w:val="0"/>
    <w:pPr>
      <w:spacing w:after="120"/>
      <w:ind w:left="420" w:leftChars="200"/>
    </w:pPr>
  </w:style>
  <w:style w:type="paragraph" w:styleId="8">
    <w:name w:val="Plain Text"/>
    <w:basedOn w:val="1"/>
    <w:next w:val="9"/>
    <w:qFormat/>
    <w:uiPriority w:val="0"/>
    <w:pPr>
      <w:widowControl w:val="0"/>
      <w:jc w:val="both"/>
    </w:pPr>
    <w:rPr>
      <w:rFonts w:ascii="宋体" w:hAnsi="Courier New" w:cs="Times New Roman"/>
      <w:kern w:val="2"/>
      <w:sz w:val="21"/>
    </w:rPr>
  </w:style>
  <w:style w:type="paragraph" w:styleId="9">
    <w:name w:val="Date"/>
    <w:basedOn w:val="1"/>
    <w:next w:val="1"/>
    <w:qFormat/>
    <w:uiPriority w:val="0"/>
    <w:pPr>
      <w:ind w:left="100" w:leftChars="2500"/>
    </w:pPr>
    <w:rPr>
      <w:rFonts w:eastAsia="Cambria"/>
    </w:rPr>
  </w:style>
  <w:style w:type="paragraph" w:styleId="10">
    <w:name w:val="Body Text First Indent 2"/>
    <w:basedOn w:val="7"/>
    <w:qFormat/>
    <w:uiPriority w:val="0"/>
    <w:pPr>
      <w:widowControl w:val="0"/>
      <w:ind w:firstLine="420" w:firstLineChars="200"/>
      <w:jc w:val="both"/>
    </w:pPr>
    <w:rPr>
      <w:rFonts w:cs="Times New Roman"/>
      <w:kern w:val="2"/>
      <w:sz w:val="21"/>
      <w:szCs w:val="24"/>
    </w:rPr>
  </w:style>
  <w:style w:type="paragraph" w:styleId="13">
    <w:name w:val="List Paragraph"/>
    <w:basedOn w:val="1"/>
    <w:autoRedefine/>
    <w:qFormat/>
    <w:uiPriority w:val="0"/>
    <w:pPr>
      <w:ind w:firstLine="420"/>
    </w:pPr>
  </w:style>
  <w:style w:type="paragraph" w:customStyle="1" w:styleId="14">
    <w:name w:val="正文首行缩进 21"/>
    <w:basedOn w:val="15"/>
    <w:autoRedefine/>
    <w:qFormat/>
    <w:uiPriority w:val="0"/>
    <w:pPr>
      <w:widowControl w:val="0"/>
      <w:ind w:firstLine="420"/>
      <w:jc w:val="both"/>
    </w:pPr>
    <w:rPr>
      <w:rFonts w:cs="Times New Roman"/>
      <w:kern w:val="2"/>
      <w:sz w:val="21"/>
      <w:szCs w:val="24"/>
    </w:rPr>
  </w:style>
  <w:style w:type="paragraph" w:customStyle="1" w:styleId="15">
    <w:name w:val="正文文本缩进1"/>
    <w:basedOn w:val="1"/>
    <w:autoRedefine/>
    <w:qFormat/>
    <w:uiPriority w:val="0"/>
    <w:pPr>
      <w:spacing w:after="120"/>
      <w:ind w:left="420"/>
    </w:pPr>
  </w:style>
  <w:style w:type="paragraph" w:customStyle="1" w:styleId="16">
    <w:name w:val="表格文字"/>
    <w:basedOn w:val="8"/>
    <w:next w:val="4"/>
    <w:autoRedefine/>
    <w:qFormat/>
    <w:uiPriority w:val="0"/>
    <w:pPr>
      <w:adjustRightInd w:val="0"/>
      <w:spacing w:line="420" w:lineRule="atLeast"/>
      <w:jc w:val="left"/>
      <w:textAlignment w:val="baseline"/>
    </w:pPr>
    <w:rPr>
      <w:rFonts w:ascii="Times New Roman" w:hAnsi="Times New Roman"/>
      <w:kern w:val="0"/>
      <w:szCs w:val="24"/>
    </w:rPr>
  </w:style>
  <w:style w:type="paragraph" w:customStyle="1" w:styleId="17">
    <w:name w:val="Table Paragraph"/>
    <w:basedOn w:val="1"/>
    <w:autoRedefine/>
    <w:qFormat/>
    <w:uiPriority w:val="6"/>
    <w:pPr>
      <w:widowControl w:val="0"/>
      <w:autoSpaceDE w:val="0"/>
    </w:pPr>
    <w:rPr>
      <w:rFonts w:ascii="宋体" w:hAnsi="宋体" w:cs="宋体"/>
      <w:sz w:val="22"/>
      <w:szCs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2022-07-14T09:40:00Z</dcterms:created>
  <dc:creator>admin</dc:creator>
  <cp:lastModifiedBy>李</cp:lastModifiedBy>
  <dcterms:modified xsi:type="dcterms:W3CDTF">2025-03-29T00:49:47Z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78724F35F4C14ABF86A21046069351B7</vt:lpwstr>
  </property>
</Properties>
</file>